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台灣財富排名深度研究報告</w:t>
      </w:r>
    </w:p>
    <w:p>
      <w:pPr>
        <w:jc w:val="center"/>
      </w:pPr>
      <w:r>
        <w:rPr>
          <w:sz w:val="28"/>
        </w:rPr>
        <w:t>主題：1.6億新台幣在台灣的財富排名</w:t>
      </w:r>
    </w:p>
    <w:p>
      <w:pPr>
        <w:jc w:val="center"/>
      </w:pPr>
      <w:r>
        <w:rPr>
          <w:sz w:val="24"/>
        </w:rPr>
        <w:t>研究日期：2026年5月7日</w:t>
      </w:r>
    </w:p>
    <w:p/>
    <w:p>
      <w:pPr>
        <w:pStyle w:val="Heading1"/>
      </w:pPr>
      <w:r>
        <w:t>一、研究背景與目的</w:t>
      </w:r>
    </w:p>
    <w:p>
      <w:r>
        <w:t>本研究旨在分析 1.6億新台幣（約500萬美元）在台灣成年人財富分布中所處的百分位排名，幫助了解該財富水平在台灣社會中的相對位置。</w:t>
      </w:r>
    </w:p>
    <w:p>
      <w:pPr>
        <w:pStyle w:val="Heading1"/>
      </w:pPr>
      <w:r>
        <w:t>二、數據來源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數值</w:t>
            </w:r>
          </w:p>
        </w:tc>
        <w:tc>
          <w:tcPr>
            <w:tcW w:type="dxa" w:w="2880"/>
          </w:tcPr>
          <w:p>
            <w:r>
              <w:t>備註</w:t>
            </w:r>
          </w:p>
        </w:tc>
      </w:tr>
      <w:tr>
        <w:tc>
          <w:tcPr>
            <w:tcW w:type="dxa" w:w="2880"/>
          </w:tcPr>
          <w:p>
            <w:r>
              <w:t>來源機構</w:t>
            </w:r>
          </w:p>
        </w:tc>
        <w:tc>
          <w:tcPr>
            <w:tcW w:type="dxa" w:w="2880"/>
          </w:tcPr>
          <w:p>
            <w:r>
              <w:t>UBS瑞銀集團</w:t>
            </w:r>
          </w:p>
        </w:tc>
        <w:tc>
          <w:tcPr>
            <w:tcW w:type="dxa" w:w="2880"/>
          </w:tcPr>
          <w:p>
            <w:r>
              <w:t>全球最具公信力的財富統計機構之一</w:t>
            </w:r>
          </w:p>
        </w:tc>
      </w:tr>
      <w:tr>
        <w:tc>
          <w:tcPr>
            <w:tcW w:type="dxa" w:w="2880"/>
          </w:tcPr>
          <w:p>
            <w:r>
              <w:t>報告名稱</w:t>
            </w:r>
          </w:p>
        </w:tc>
        <w:tc>
          <w:tcPr>
            <w:tcW w:type="dxa" w:w="2880"/>
          </w:tcPr>
          <w:p>
            <w:r>
              <w:t>UBS Global Wealth Databook 2023</w:t>
            </w:r>
          </w:p>
        </w:tc>
        <w:tc>
          <w:tcPr>
            <w:tcW w:type="dxa" w:w="2880"/>
          </w:tcPr>
          <w:p>
            <w:r>
              <w:t>2022年底數據（目前最新公開版本）</w:t>
            </w:r>
          </w:p>
        </w:tc>
      </w:tr>
      <w:tr>
        <w:tc>
          <w:tcPr>
            <w:tcW w:type="dxa" w:w="2880"/>
          </w:tcPr>
          <w:p>
            <w:r>
              <w:t>台灣成年人人口</w:t>
            </w:r>
          </w:p>
        </w:tc>
        <w:tc>
          <w:tcPr>
            <w:tcW w:type="dxa" w:w="2880"/>
          </w:tcPr>
          <w:p>
            <w:r>
              <w:t>19,803,000人</w:t>
            </w:r>
          </w:p>
        </w:tc>
        <w:tc>
          <w:tcPr>
            <w:tcW w:type="dxa" w:w="2880"/>
          </w:tcPr>
          <w:p>
            <w:r>
              <w:t>約1,980萬成年人</w:t>
            </w:r>
          </w:p>
        </w:tc>
      </w:tr>
      <w:tr>
        <w:tc>
          <w:tcPr>
            <w:tcW w:type="dxa" w:w="2880"/>
          </w:tcPr>
          <w:p>
            <w:r>
              <w:t>每人平均財富（Mean）</w:t>
            </w:r>
          </w:p>
        </w:tc>
        <w:tc>
          <w:tcPr>
            <w:tcW w:type="dxa" w:w="2880"/>
          </w:tcPr>
          <w:p>
            <w:r>
              <w:t>$273,788美元</w:t>
            </w:r>
          </w:p>
        </w:tc>
        <w:tc>
          <w:tcPr>
            <w:tcW w:type="dxa" w:w="2880"/>
          </w:tcPr>
          <w:p>
            <w:r>
              <w:t>總財富÷成年人口</w:t>
            </w:r>
          </w:p>
        </w:tc>
      </w:tr>
      <w:tr>
        <w:tc>
          <w:tcPr>
            <w:tcW w:type="dxa" w:w="2880"/>
          </w:tcPr>
          <w:p>
            <w:r>
              <w:t>每人中位數財富（Median）</w:t>
            </w:r>
          </w:p>
        </w:tc>
        <w:tc>
          <w:tcPr>
            <w:tcW w:type="dxa" w:w="2880"/>
          </w:tcPr>
          <w:p>
            <w:r>
              <w:t>$108,247美元</w:t>
            </w:r>
          </w:p>
        </w:tc>
        <w:tc>
          <w:tcPr>
            <w:tcW w:type="dxa" w:w="2880"/>
          </w:tcPr>
          <w:p>
            <w:r>
              <w:t>財富中位數，較平均值更能反映典型狀況</w:t>
            </w:r>
          </w:p>
        </w:tc>
      </w:tr>
      <w:tr>
        <w:tc>
          <w:tcPr>
            <w:tcW w:type="dxa" w:w="2880"/>
          </w:tcPr>
          <w:p>
            <w:r>
              <w:t>財富吉尼係數（Gini）</w:t>
            </w:r>
          </w:p>
        </w:tc>
        <w:tc>
          <w:tcPr>
            <w:tcW w:type="dxa" w:w="2880"/>
          </w:tcPr>
          <w:p>
            <w:r>
              <w:t>69.8%</w:t>
            </w:r>
          </w:p>
        </w:tc>
        <w:tc>
          <w:tcPr>
            <w:tcW w:type="dxa" w:w="2880"/>
          </w:tcPr>
          <w:p>
            <w:r>
              <w:t>反映財富不平等程度，高於全球平均</w:t>
            </w:r>
          </w:p>
        </w:tc>
      </w:tr>
    </w:tbl>
    <w:p/>
    <w:p>
      <w:pPr>
        <w:pStyle w:val="Heading1"/>
      </w:pPr>
      <w:r>
        <w:t>三、目標財富換算</w:t>
      </w:r>
    </w:p>
    <w:p>
      <w:r>
        <w:t>1.6億新台幣 ≈ $5,079,365 美元（以2024-2025年平均匯率 1美元 ≈ 31.5新台幣計算）</w:t>
      </w:r>
    </w:p>
    <w:p/>
    <w:p>
      <w:pPr>
        <w:pStyle w:val="Heading1"/>
      </w:pPr>
      <w:r>
        <w:t>四、分析方法：對數常態分佈模型</w:t>
      </w:r>
    </w:p>
    <w:p>
      <w:r>
        <w:t>根據UBS報告提供的平均值與中位數，反推分佈參數並計算百分位排名。</w:t>
      </w:r>
    </w:p>
    <w:p/>
    <w:p>
      <w:pPr>
        <w:pStyle w:val="Heading1"/>
      </w:pPr>
      <w:r>
        <w:t>五、財富門檻對照表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財富門檻（美元）</w:t>
            </w:r>
          </w:p>
        </w:tc>
        <w:tc>
          <w:tcPr>
            <w:tcW w:type="dxa" w:w="2160"/>
          </w:tcPr>
          <w:p>
            <w:r>
              <w:t>百分位</w:t>
            </w:r>
          </w:p>
        </w:tc>
        <w:tc>
          <w:tcPr>
            <w:tcW w:type="dxa" w:w="2160"/>
          </w:tcPr>
          <w:p>
            <w:r>
              <w:t>高於此門檻的比例</w:t>
            </w:r>
          </w:p>
        </w:tc>
        <w:tc>
          <w:tcPr>
            <w:tcW w:type="dxa" w:w="2160"/>
          </w:tcPr>
          <w:p>
            <w:r>
              <w:t>約當人數</w:t>
            </w:r>
          </w:p>
        </w:tc>
      </w:tr>
      <w:tr>
        <w:tc>
          <w:tcPr>
            <w:tcW w:type="dxa" w:w="2160"/>
          </w:tcPr>
          <w:p>
            <w:r>
              <w:t>$100,000（10萬）</w:t>
            </w:r>
          </w:p>
        </w:tc>
        <w:tc>
          <w:tcPr>
            <w:tcW w:type="dxa" w:w="2160"/>
          </w:tcPr>
          <w:p>
            <w:r>
              <w:t>47.68%</w:t>
            </w:r>
          </w:p>
        </w:tc>
        <w:tc>
          <w:tcPr>
            <w:tcW w:type="dxa" w:w="2160"/>
          </w:tcPr>
          <w:p>
            <w:r>
              <w:t>前 52.32%</w:t>
            </w:r>
          </w:p>
        </w:tc>
        <w:tc>
          <w:tcPr>
            <w:tcW w:type="dxa" w:w="2160"/>
          </w:tcPr>
          <w:p>
            <w:r>
              <w:t>約1,036萬人</w:t>
            </w:r>
          </w:p>
        </w:tc>
      </w:tr>
      <w:tr>
        <w:tc>
          <w:tcPr>
            <w:tcW w:type="dxa" w:w="2160"/>
          </w:tcPr>
          <w:p>
            <w:r>
              <w:t>$300,000（30萬）</w:t>
            </w:r>
          </w:p>
        </w:tc>
        <w:tc>
          <w:tcPr>
            <w:tcW w:type="dxa" w:w="2160"/>
          </w:tcPr>
          <w:p>
            <w:r>
              <w:t>70.82%</w:t>
            </w:r>
          </w:p>
        </w:tc>
        <w:tc>
          <w:tcPr>
            <w:tcW w:type="dxa" w:w="2160"/>
          </w:tcPr>
          <w:p>
            <w:r>
              <w:t>前 29.18%</w:t>
            </w:r>
          </w:p>
        </w:tc>
        <w:tc>
          <w:tcPr>
            <w:tcW w:type="dxa" w:w="2160"/>
          </w:tcPr>
          <w:p>
            <w:r>
              <w:t>約578萬人</w:t>
            </w:r>
          </w:p>
        </w:tc>
      </w:tr>
      <w:tr>
        <w:tc>
          <w:tcPr>
            <w:tcW w:type="dxa" w:w="2160"/>
          </w:tcPr>
          <w:p>
            <w:r>
              <w:t>$500,000（50萬）</w:t>
            </w:r>
          </w:p>
        </w:tc>
        <w:tc>
          <w:tcPr>
            <w:tcW w:type="dxa" w:w="2160"/>
          </w:tcPr>
          <w:p>
            <w:r>
              <w:t>86.93%</w:t>
            </w:r>
          </w:p>
        </w:tc>
        <w:tc>
          <w:tcPr>
            <w:tcW w:type="dxa" w:w="2160"/>
          </w:tcPr>
          <w:p>
            <w:r>
              <w:t>前 13.07%</w:t>
            </w:r>
          </w:p>
        </w:tc>
        <w:tc>
          <w:tcPr>
            <w:tcW w:type="dxa" w:w="2160"/>
          </w:tcPr>
          <w:p>
            <w:r>
              <w:t>約259萬人</w:t>
            </w:r>
          </w:p>
        </w:tc>
      </w:tr>
      <w:tr>
        <w:tc>
          <w:tcPr>
            <w:tcW w:type="dxa" w:w="2160"/>
          </w:tcPr>
          <w:p>
            <w:r>
              <w:t>$1,000,000（100萬）</w:t>
            </w:r>
          </w:p>
        </w:tc>
        <w:tc>
          <w:tcPr>
            <w:tcW w:type="dxa" w:w="2160"/>
          </w:tcPr>
          <w:p>
            <w:r>
              <w:t>94.87%</w:t>
            </w:r>
          </w:p>
        </w:tc>
        <w:tc>
          <w:tcPr>
            <w:tcW w:type="dxa" w:w="2160"/>
          </w:tcPr>
          <w:p>
            <w:r>
              <w:t>前 5.13%</w:t>
            </w:r>
          </w:p>
        </w:tc>
        <w:tc>
          <w:tcPr>
            <w:tcW w:type="dxa" w:w="2160"/>
          </w:tcPr>
          <w:p>
            <w:r>
              <w:t>約102萬人</w:t>
            </w:r>
          </w:p>
        </w:tc>
      </w:tr>
      <w:tr>
        <w:tc>
          <w:tcPr>
            <w:tcW w:type="dxa" w:w="2160"/>
          </w:tcPr>
          <w:p>
            <w:r>
              <w:t>$3,000,000（300萬）</w:t>
            </w:r>
          </w:p>
        </w:tc>
        <w:tc>
          <w:tcPr>
            <w:tcW w:type="dxa" w:w="2160"/>
          </w:tcPr>
          <w:p>
            <w:r>
              <w:t>99.26%</w:t>
            </w:r>
          </w:p>
        </w:tc>
        <w:tc>
          <w:tcPr>
            <w:tcW w:type="dxa" w:w="2160"/>
          </w:tcPr>
          <w:p>
            <w:r>
              <w:t>前 0.74%</w:t>
            </w:r>
          </w:p>
        </w:tc>
        <w:tc>
          <w:tcPr>
            <w:tcW w:type="dxa" w:w="2160"/>
          </w:tcPr>
          <w:p>
            <w:r>
              <w:t>約14.6萬人</w:t>
            </w:r>
          </w:p>
        </w:tc>
      </w:tr>
      <w:tr>
        <w:tc>
          <w:tcPr>
            <w:tcW w:type="dxa" w:w="2160"/>
          </w:tcPr>
          <w:p>
            <w:r>
              <w:t>$5,000,000（500萬）</w:t>
            </w:r>
          </w:p>
        </w:tc>
        <w:tc>
          <w:tcPr>
            <w:tcW w:type="dxa" w:w="2160"/>
          </w:tcPr>
          <w:p>
            <w:r>
              <w:t>99.75%</w:t>
            </w:r>
          </w:p>
        </w:tc>
        <w:tc>
          <w:tcPr>
            <w:tcW w:type="dxa" w:w="2160"/>
          </w:tcPr>
          <w:p>
            <w:r>
              <w:t>前 0.25%</w:t>
            </w:r>
          </w:p>
        </w:tc>
        <w:tc>
          <w:tcPr>
            <w:tcW w:type="dxa" w:w="2160"/>
          </w:tcPr>
          <w:p>
            <w:r>
              <w:t>約4.9萬人</w:t>
            </w:r>
          </w:p>
        </w:tc>
      </w:tr>
      <w:tr>
        <w:tc>
          <w:tcPr>
            <w:tcW w:type="dxa" w:w="2160"/>
          </w:tcPr>
          <w:p>
            <w:r>
              <w:t>$10,000,000（1,000萬）</w:t>
            </w:r>
          </w:p>
        </w:tc>
        <w:tc>
          <w:tcPr>
            <w:tcW w:type="dxa" w:w="2160"/>
          </w:tcPr>
          <w:p>
            <w:r>
              <w:t>99.96%</w:t>
            </w:r>
          </w:p>
        </w:tc>
        <w:tc>
          <w:tcPr>
            <w:tcW w:type="dxa" w:w="2160"/>
          </w:tcPr>
          <w:p>
            <w:r>
              <w:t>前 0.04%</w:t>
            </w:r>
          </w:p>
        </w:tc>
        <w:tc>
          <w:tcPr>
            <w:tcW w:type="dxa" w:w="2160"/>
          </w:tcPr>
          <w:p>
            <w:r>
              <w:t>約8,800人</w:t>
            </w:r>
          </w:p>
        </w:tc>
      </w:tr>
    </w:tbl>
    <w:p/>
    <w:p>
      <w:pPr>
        <w:pStyle w:val="Heading1"/>
      </w:pPr>
      <w:r>
        <w:t>六、核心結論</w:t>
      </w:r>
    </w:p>
    <w:p>
      <w:r>
        <w:rPr>
          <w:b/>
          <w:sz w:val="28"/>
        </w:rPr>
        <w:t>🏆 結論：1.6億新台幣在台灣處於前 ≈ 0.25% 的位置，約為前1/400。</w:t>
      </w:r>
    </w:p>
    <w:p>
      <w:r>
        <w:t>這意味著：</w:t>
      </w:r>
    </w:p>
    <w:p>
      <w:r>
        <w:t>• 在約1,980萬成年人口中，只有約4~5萬人的財富能達到此水準</w:t>
      </w:r>
    </w:p>
    <w:p>
      <w:r>
        <w:t>• 超越約99.75%的台灣成年人</w:t>
      </w:r>
    </w:p>
    <w:p>
      <w:r>
        <w:t>• 若以百萬美元（約3,100萬新台幣）為門檻，約有102萬人；而500萬美元門檻僅約4.9萬人</w:t>
      </w:r>
    </w:p>
    <w:p/>
    <w:p>
      <w:pPr>
        <w:pStyle w:val="Heading1"/>
      </w:pPr>
      <w:r>
        <w:t>七、國際比較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術語定義</w:t>
            </w:r>
          </w:p>
        </w:tc>
        <w:tc>
          <w:tcPr>
            <w:tcW w:type="dxa" w:w="2880"/>
          </w:tcPr>
          <w:p>
            <w:r>
              <w:t>門檻</w:t>
            </w:r>
          </w:p>
        </w:tc>
        <w:tc>
          <w:tcPr>
            <w:tcW w:type="dxa" w:w="2880"/>
          </w:tcPr>
          <w:p>
            <w:r>
              <w:t>說明</w:t>
            </w:r>
          </w:p>
        </w:tc>
      </w:tr>
      <w:tr>
        <w:tc>
          <w:tcPr>
            <w:tcW w:type="dxa" w:w="2880"/>
          </w:tcPr>
          <w:p>
            <w:r>
              <w:t>High Net Worth (HNW)</w:t>
            </w:r>
          </w:p>
        </w:tc>
        <w:tc>
          <w:tcPr>
            <w:tcW w:type="dxa" w:w="2880"/>
          </w:tcPr>
          <w:p>
            <w:r>
              <w:t>$100萬以上</w:t>
            </w:r>
          </w:p>
        </w:tc>
        <w:tc>
          <w:tcPr>
            <w:tcW w:type="dxa" w:w="2880"/>
          </w:tcPr>
          <w:p>
            <w:r>
              <w:t>廣义的「有錢人」</w:t>
            </w:r>
          </w:p>
        </w:tc>
      </w:tr>
      <w:tr>
        <w:tc>
          <w:tcPr>
            <w:tcW w:type="dxa" w:w="2880"/>
          </w:tcPr>
          <w:p>
            <w:r>
              <w:t>Ultra High Net Worth (UHNW)</w:t>
            </w:r>
          </w:p>
        </w:tc>
        <w:tc>
          <w:tcPr>
            <w:tcW w:type="dxa" w:w="2880"/>
          </w:tcPr>
          <w:p>
            <w:r>
              <w:t>$3000萬以上</w:t>
            </w:r>
          </w:p>
        </w:tc>
        <w:tc>
          <w:tcPr>
            <w:tcW w:type="dxa" w:w="2880"/>
          </w:tcPr>
          <w:p>
            <w:r>
              <w:t>超高淨值人士</w:t>
            </w:r>
          </w:p>
        </w:tc>
      </w:tr>
      <w:tr>
        <w:tc>
          <w:tcPr>
            <w:tcW w:type="dxa" w:w="2880"/>
          </w:tcPr>
          <w:p>
            <w:r>
              <w:t>Centimillionaire</w:t>
            </w:r>
          </w:p>
        </w:tc>
        <w:tc>
          <w:tcPr>
            <w:tcW w:type="dxa" w:w="2880"/>
          </w:tcPr>
          <w:p>
            <w:r>
              <w:t>$1億以上</w:t>
            </w:r>
          </w:p>
        </w:tc>
        <w:tc>
          <w:tcPr>
            <w:tcW w:type="dxa" w:w="2880"/>
          </w:tcPr>
          <w:p>
            <w:r>
              <w:t>億萬富翁</w:t>
            </w:r>
          </w:p>
        </w:tc>
      </w:tr>
    </w:tbl>
    <w:p/>
    <w:p>
      <w:r>
        <w:t>500萬美元處於 HNW最高端、UHNW入門級 的位置。</w:t>
      </w:r>
    </w:p>
    <w:p/>
    <w:p>
      <w:pPr>
        <w:pStyle w:val="Heading1"/>
      </w:pPr>
      <w:r>
        <w:t>八、總結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1.6億新台幣 ≈</w:t>
            </w:r>
          </w:p>
        </w:tc>
        <w:tc>
          <w:tcPr>
            <w:tcW w:type="dxa" w:w="4320"/>
          </w:tcPr>
          <w:p>
            <w:r>
              <w:t>$500萬美元</w:t>
            </w:r>
          </w:p>
        </w:tc>
      </w:tr>
      <w:tr>
        <w:tc>
          <w:tcPr>
            <w:tcW w:type="dxa" w:w="4320"/>
          </w:tcPr>
          <w:p>
            <w:r>
              <w:t>在台灣排名</w:t>
            </w:r>
          </w:p>
        </w:tc>
        <w:tc>
          <w:tcPr>
            <w:tcW w:type="dxa" w:w="4320"/>
          </w:tcPr>
          <w:p>
            <w:r>
              <w:t>前 ≈ 0.25%</w:t>
            </w:r>
          </w:p>
        </w:tc>
      </w:tr>
      <w:tr>
        <w:tc>
          <w:tcPr>
            <w:tcW w:type="dxa" w:w="4320"/>
          </w:tcPr>
          <w:p>
            <w:r>
              <w:t>超越成年人口比例</w:t>
            </w:r>
          </w:p>
        </w:tc>
        <w:tc>
          <w:tcPr>
            <w:tcW w:type="dxa" w:w="4320"/>
          </w:tcPr>
          <w:p>
            <w:r>
              <w:t>99.75%</w:t>
            </w:r>
          </w:p>
        </w:tc>
      </w:tr>
      <w:tr>
        <w:tc>
          <w:tcPr>
            <w:tcW w:type="dxa" w:w="4320"/>
          </w:tcPr>
          <w:p>
            <w:r>
              <w:t>約當人數</w:t>
            </w:r>
          </w:p>
        </w:tc>
        <w:tc>
          <w:tcPr>
            <w:tcW w:type="dxa" w:w="4320"/>
          </w:tcPr>
          <w:p>
            <w:r>
              <w:t>4~5萬人</w:t>
            </w:r>
          </w:p>
        </w:tc>
      </w:tr>
      <w:tr>
        <w:tc>
          <w:tcPr>
            <w:tcW w:type="dxa" w:w="4320"/>
          </w:tcPr>
          <w:p>
            <w:r>
              <w:t>國際標準定位</w:t>
            </w:r>
          </w:p>
        </w:tc>
        <w:tc>
          <w:tcPr>
            <w:tcW w:type="dxa" w:w="4320"/>
          </w:tcPr>
          <w:p>
            <w:r>
              <w:t>Ultra High Net Worth (UHNW) 入門級</w:t>
            </w:r>
          </w:p>
        </w:tc>
      </w:tr>
      <w:tr>
        <w:tc>
          <w:tcPr>
            <w:tcW w:type="dxa" w:w="4320"/>
          </w:tcPr>
          <w:p>
            <w:r>
              <w:t>結論</w:t>
            </w:r>
          </w:p>
        </w:tc>
        <w:tc>
          <w:tcPr>
            <w:tcW w:type="dxa" w:w="4320"/>
          </w:tcPr>
          <w:p>
            <w:r>
              <w:t>金字塔頂尖0.25%的頂級財富階層</w:t>
            </w:r>
          </w:p>
        </w:tc>
      </w:tr>
    </w:tbl>
    <w:p/>
    <w:p>
      <w:pPr>
        <w:pStyle w:val="Heading1"/>
      </w:pPr>
      <w:r>
        <w:t>九、研究限制與備註</w:t>
      </w:r>
    </w:p>
    <w:p>
      <w:pPr>
        <w:pStyle w:val="ListBullet"/>
      </w:pPr>
      <w:r>
        <w:t>• 數據時效性：本研究使用UBS 2023報告（2022年底數據），2023-2025年台灣財富數據可能有變化，但排名結構相對穩定。</w:t>
      </w:r>
    </w:p>
    <w:p>
      <w:pPr>
        <w:pStyle w:val="ListBullet"/>
      </w:pPr>
      <w:r>
        <w:t>• 模型假設：假設財富服從對數常態分佈，實際分布可能更複雜（尾部更厚）。</w:t>
      </w:r>
    </w:p>
    <w:p>
      <w:pPr>
        <w:pStyle w:val="ListBullet"/>
      </w:pPr>
      <w:r>
        <w:t>• 資產定義：UBS統計的「財富」包含金融與非金融資產（股票、存款、退休金等），但不含主要住宅（自用房地產）。</w:t>
      </w:r>
    </w:p>
    <w:p>
      <w:pPr>
        <w:pStyle w:val="ListBullet"/>
      </w:pPr>
      <w:r>
        <w:t>• 匯率影響：新台幣對美元匯率波動會影響美元計價的排名，但相對位置變化不大。</w:t>
      </w:r>
    </w:p>
    <w:p>
      <w:pPr>
        <w:pStyle w:val="ListBullet"/>
      </w:pPr>
      <w:r>
        <w:t>• 人口變化：成年人人口為動態變化，本研究採用靜態估算。</w:t>
      </w:r>
    </w:p>
    <w:p/>
    <w:p>
      <w:pPr>
        <w:jc w:val="center"/>
      </w:pPr>
      <w:r>
        <w:rPr>
          <w:sz w:val="20"/>
        </w:rPr>
        <w:t>報告生成：深度研究子代理 | 數據來源：UBS Global Wealth Databook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