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職場發展與專業技能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2026年05月05日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主題：「職場發展與專業技能」</w:t>
      </w:r>
    </w:p>
    <w:p>
      <w:pPr>
        <w:spacing w:before="40" w:after="60"/>
      </w:pPr>
      <w:r>
        <w:rPr>
          <w:b w:val="0"/>
          <w:sz w:val="22"/>
        </w:rPr>
        <w:t>目標：研究職場發展趨勢，包括熱門技能、薪資走向、以及如何提升職場競爭力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本報告針對「職場發展與專業技能」進行深度研究，提供有價值的分析與建議。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pStyle w:val="ListBullet"/>
        <w:spacing w:before="20" w:after="40"/>
      </w:pPr>
      <w:r>
        <w:rPr>
          <w:sz w:val="22"/>
        </w:rPr>
        <w:t>發現1：請查看上方資料來源取得更多資訊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發現2：請查看上方資料來源取得更多資訊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發現3：請查看上方資料來源取得更多資訊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pStyle w:val="ListBullet"/>
        <w:spacing w:before="20" w:after="40"/>
      </w:pPr>
      <w:r>
        <w:rPr>
          <w:sz w:val="22"/>
        </w:rPr>
        <w:t>• 應用方向1：請依據自身需求評估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應用方向2：請依據自身需求評估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應用方向3：請依據自身需求評估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職場發展與專業技能深度研究｜僅供參考，不構成投資建議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