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1a3a5c"/>
          </w:tcPr>
          <w:p>
            <w:pPr>
              <w:spacing w:before="400" w:after="200" w:line="360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64"/>
              </w:rPr>
              <w:t>比特幣與加密貨幣趨勢</w:t>
            </w:r>
          </w:p>
          <w:p>
            <w:pPr>
              <w:spacing w:before="100" w:after="400" w:line="360" w:lineRule="auto"/>
              <w:jc w:val="center"/>
            </w:pPr>
            <w:r>
              <w:rPr>
                <w:color w:val="D4E6F1"/>
                <w:sz w:val="28"/>
              </w:rPr>
              <w:t>📅 2026年05月08日 | 小安研究團隊</w:t>
            </w:r>
          </w:p>
        </w:tc>
      </w:tr>
    </w:tbl>
    <w:p/>
    <w:p/>
    <w:p>
      <w:pPr>
        <w:spacing w:before="120" w:after="120" w:line="360" w:lineRule="auto"/>
      </w:pPr>
      <w:r>
        <w:rPr>
          <w:color w:val="007AB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 w:line="288" w:lineRule="auto"/>
      </w:pPr>
      <w:r>
        <w:rPr>
          <w:rFonts w:ascii="微軟正黑體" w:hAnsi="微軟正黑體"/>
          <w:b/>
          <w:color w:val="007AB8"/>
          <w:sz w:val="36"/>
        </w:rPr>
        <w:t>📌 執行摘要</w:t>
      </w:r>
    </w:p>
    <w:p>
      <w:pPr>
        <w:spacing w:before="120" w:after="120" w:line="360" w:lineRule="auto"/>
      </w:pPr>
      <w:r>
        <w:rPr>
          <w:color w:val="007AB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d4e6f1"/>
          </w:tcPr>
          <w:p>
            <w:pPr>
              <w:spacing w:before="200" w:after="200" w:line="432" w:lineRule="auto"/>
            </w:pPr>
            <w:r>
              <w:rPr>
                <w:color w:val="2C3E50"/>
                <w:sz w:val="26"/>
              </w:rPr>
              <w:t>本報告針對「比特幣與加密貨幣趨勢」進行深度研究，</w:t>
            </w:r>
            <w:r>
              <w:rPr>
                <w:color w:val="556677"/>
                <w:sz w:val="26"/>
              </w:rPr>
              <w:t>研究比特幣與加密貨幣市場最新趨勢價格走勢，分析影響價格的因素及未來展望</w:t>
            </w:r>
          </w:p>
        </w:tc>
      </w:tr>
    </w:tbl>
    <w:p/>
    <w:p/>
    <w:p>
      <w:pPr>
        <w:spacing w:before="120" w:after="120" w:line="360" w:lineRule="auto"/>
      </w:pPr>
      <w:r>
        <w:rPr>
          <w:color w:val="27AE6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 w:line="288" w:lineRule="auto"/>
      </w:pPr>
      <w:r>
        <w:rPr>
          <w:rFonts w:ascii="微軟正黑體" w:hAnsi="微軟正黑體"/>
          <w:b/>
          <w:color w:val="27AE60"/>
          <w:sz w:val="36"/>
        </w:rPr>
        <w:t>📊 市場現況分析</w:t>
      </w:r>
    </w:p>
    <w:p>
      <w:pPr>
        <w:spacing w:before="120" w:after="120" w:line="360" w:lineRule="auto"/>
      </w:pPr>
      <w:r>
        <w:rPr>
          <w:color w:val="27AE6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432" w:lineRule="auto"/>
      </w:pPr>
      <w:r>
        <w:rPr>
          <w:color w:val="27AE60"/>
          <w:sz w:val="24"/>
        </w:rPr>
        <w:t xml:space="preserve">🔵 </w:t>
      </w:r>
      <w:r>
        <w:rPr>
          <w:color w:val="2C3E50"/>
          <w:sz w:val="24"/>
        </w:rPr>
        <w:t>加密貨幣價格預測與展望 2024、2025、2026 - 2050 | Bitg：加密貨幣市場的未來和價格走勢需要透過研究歷史數據、市場趨勢、新聞和技術進步來預測。無論是比特幣、以太坊或 Solana，由於市場的波動性，準確的預測都具有挑戰性...</w:t>
      </w:r>
    </w:p>
    <w:p>
      <w:pPr>
        <w:spacing w:before="40" w:after="160" w:line="360" w:lineRule="auto"/>
      </w:pPr>
      <w:r>
        <w:rPr>
          <w:color w:val="007AB8"/>
          <w:sz w:val="18"/>
        </w:rPr>
        <w:t xml:space="preserve">   ↳ https://www.bitget.com/zh-TC/price/prediction</w:t>
      </w:r>
    </w:p>
    <w:p>
      <w:pPr>
        <w:spacing w:before="120" w:after="120" w:line="432" w:lineRule="auto"/>
      </w:pPr>
      <w:r>
        <w:rPr>
          <w:color w:val="27AE60"/>
          <w:sz w:val="24"/>
        </w:rPr>
        <w:t xml:space="preserve">🔵 </w:t>
      </w:r>
      <w:r>
        <w:rPr>
          <w:color w:val="2C3E50"/>
          <w:sz w:val="24"/>
        </w:rPr>
        <w:t>深入解析2026年最具潛力的13大加密貨幣：從比特幣到狗狗幣的全面投資指南 | ：本文將深入分析您關注的13種加密貨幣，探討它們的技術基礎、市場地位、應用前景以及投資潛力，爲您的投資決策提供全面參考。. 比特幣作爲第一個也是最知名的加密貨幣，...</w:t>
      </w:r>
    </w:p>
    <w:p>
      <w:pPr>
        <w:spacing w:before="40" w:after="160" w:line="360" w:lineRule="auto"/>
      </w:pPr>
      <w:r>
        <w:rPr>
          <w:color w:val="007AB8"/>
          <w:sz w:val="18"/>
        </w:rPr>
        <w:t xml:space="preserve">   ↳ https://www.binance.com/zh-TC/square/post/35108805011849</w:t>
      </w:r>
    </w:p>
    <w:p>
      <w:pPr>
        <w:spacing w:before="120" w:after="120" w:line="432" w:lineRule="auto"/>
      </w:pPr>
      <w:r>
        <w:rPr>
          <w:color w:val="27AE60"/>
          <w:sz w:val="24"/>
        </w:rPr>
        <w:t xml:space="preserve">🔵 </w:t>
      </w:r>
      <w:r>
        <w:rPr>
          <w:color w:val="2C3E50"/>
          <w:sz w:val="24"/>
        </w:rPr>
        <w:t>比特币价格：未来趋势与影响因素分析| Gate 学院：深入分析比特币价格的历史波动、影响因素及未来走势。涵盖市场需求、监管政策、投资者情绪、技术创新等核心要素，解读比特币作为数字黄金的投资价值，...</w:t>
      </w:r>
    </w:p>
    <w:p>
      <w:pPr>
        <w:spacing w:before="40" w:after="160" w:line="360" w:lineRule="auto"/>
      </w:pPr>
      <w:r>
        <w:rPr>
          <w:color w:val="007AB8"/>
          <w:sz w:val="18"/>
        </w:rPr>
        <w:t xml:space="preserve">   ↳ https://www.gate.com/zh/learn/articles/bitcoin-price-future-trends-and-analysis-of-influencing-factors/6784</w:t>
      </w:r>
    </w:p>
    <w:p/>
    <w:p/>
    <w:p>
      <w:pPr>
        <w:spacing w:before="120" w:after="120" w:line="360" w:lineRule="auto"/>
      </w:pPr>
      <w:r>
        <w:rPr>
          <w:color w:val="8E44A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 w:line="288" w:lineRule="auto"/>
      </w:pPr>
      <w:r>
        <w:rPr>
          <w:rFonts w:ascii="微軟正黑體" w:hAnsi="微軟正黑體"/>
          <w:b/>
          <w:color w:val="8E44AD"/>
          <w:sz w:val="36"/>
        </w:rPr>
        <w:t>🔍 趨勢與機會</w:t>
      </w:r>
    </w:p>
    <w:p>
      <w:pPr>
        <w:spacing w:before="120" w:after="120" w:line="360" w:lineRule="auto"/>
      </w:pPr>
      <w:r>
        <w:rPr>
          <w:color w:val="8E44A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432" w:lineRule="auto"/>
      </w:pPr>
      <w:r>
        <w:rPr>
          <w:color w:val="8E44AD"/>
          <w:sz w:val="24"/>
        </w:rPr>
        <w:t xml:space="preserve">🔷 </w:t>
      </w:r>
      <w:r>
        <w:rPr>
          <w:color w:val="2C3E50"/>
          <w:sz w:val="24"/>
        </w:rPr>
        <w:t>比特幣未來走勢分析：2026、2030與2040價格預測 - OSL</w:t>
      </w:r>
    </w:p>
    <w:p>
      <w:pPr>
        <w:spacing w:before="40" w:after="160" w:line="360" w:lineRule="auto"/>
      </w:pPr>
      <w:r>
        <w:rPr>
          <w:color w:val="556677"/>
          <w:sz w:val="22"/>
        </w:rPr>
        <w:t xml:space="preserve">   ↳ 系統整理比特幣在2026、2030及2040年的價格預測與市場走勢，涵蓋歷史周期、供需因素及第三方模型分析，提供長期趨勢參考。 比特幣(BTC) 的價格預測一直...</w:t>
      </w:r>
    </w:p>
    <w:p>
      <w:pPr>
        <w:spacing w:before="120" w:after="120" w:line="432" w:lineRule="auto"/>
      </w:pPr>
      <w:r>
        <w:rPr>
          <w:color w:val="8E44AD"/>
          <w:sz w:val="24"/>
        </w:rPr>
        <w:t xml:space="preserve">🔷 </w:t>
      </w:r>
      <w:r>
        <w:rPr>
          <w:color w:val="2C3E50"/>
          <w:sz w:val="24"/>
        </w:rPr>
        <w:t>比特币走势预测：BTC未来价格展望2026、2030、2040 和2050 年</w:t>
      </w:r>
    </w:p>
    <w:p>
      <w:pPr>
        <w:spacing w:before="40" w:after="160" w:line="360" w:lineRule="auto"/>
      </w:pPr>
      <w:r>
        <w:rPr>
          <w:color w:val="556677"/>
          <w:sz w:val="22"/>
        </w:rPr>
        <w:t xml:space="preserve">   ↳ 即使牛市趋势持续，比特币在未来26年内达到5,000,000美元的可能性也很低。这与可能减缓币价增长的几个加密市场限制（例如法律监管）有关。然而，如果加密市场...</w:t>
      </w:r>
    </w:p>
    <w:p/>
    <w:p/>
    <w:p>
      <w:pPr>
        <w:spacing w:before="120" w:after="120" w:line="360" w:lineRule="auto"/>
      </w:pPr>
      <w:r>
        <w:rPr>
          <w:color w:val="E74C3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 w:line="288" w:lineRule="auto"/>
      </w:pPr>
      <w:r>
        <w:rPr>
          <w:rFonts w:ascii="微軟正黑體" w:hAnsi="微軟正黑體"/>
          <w:b/>
          <w:color w:val="E74C3C"/>
          <w:sz w:val="36"/>
        </w:rPr>
        <w:t>⚠️ 風險分析</w:t>
      </w:r>
    </w:p>
    <w:p>
      <w:pPr>
        <w:spacing w:before="120" w:after="120" w:line="360" w:lineRule="auto"/>
      </w:pPr>
      <w:r>
        <w:rPr>
          <w:color w:val="E74C3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432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市場波動：價格易受市場情緒影響，投資人需具備風險意識</w:t>
      </w:r>
    </w:p>
    <w:p>
      <w:pPr>
        <w:spacing w:before="120" w:after="120" w:line="432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政策變化：各國監管政策不確定，可能影響產業發展</w:t>
      </w:r>
    </w:p>
    <w:p>
      <w:pPr>
        <w:spacing w:before="120" w:after="120" w:line="432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技術迭代：科技快速變革，需持續追蹤技術動向</w:t>
      </w:r>
    </w:p>
    <w:p>
      <w:pPr>
        <w:spacing w:before="120" w:after="120" w:line="432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競爭加劇：市場競爭激烈，需評估競爭者動態</w:t>
      </w:r>
    </w:p>
    <w:p/>
    <w:p/>
    <w:p>
      <w:pPr>
        <w:spacing w:before="120" w:after="120" w:line="360" w:lineRule="auto"/>
      </w:pPr>
      <w:r>
        <w:rPr>
          <w:color w:val="E67E22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 w:line="288" w:lineRule="auto"/>
      </w:pPr>
      <w:r>
        <w:rPr>
          <w:rFonts w:ascii="微軟正黑體" w:hAnsi="微軟正黑體"/>
          <w:b/>
          <w:color w:val="E67E22"/>
          <w:sz w:val="36"/>
        </w:rPr>
        <w:t>💡 結論與建議</w:t>
      </w:r>
    </w:p>
    <w:p>
      <w:pPr>
        <w:spacing w:before="120" w:after="120" w:line="360" w:lineRule="auto"/>
      </w:pPr>
      <w:r>
        <w:rPr>
          <w:color w:val="E67E22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432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1. 持續追蹤：定期關注產業動態和市場趨勢</w:t>
      </w:r>
    </w:p>
    <w:p>
      <w:pPr>
        <w:spacing w:before="120" w:after="120" w:line="432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2. 分散投資：不要單壓一個領域，做好資產配置</w:t>
      </w:r>
    </w:p>
    <w:p>
      <w:pPr>
        <w:spacing w:before="120" w:after="120" w:line="432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3. 風險管理：設定停損點，控制虧損範圍</w:t>
      </w:r>
    </w:p>
    <w:p>
      <w:pPr>
        <w:spacing w:before="120" w:after="120" w:line="432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4. 長期持有：對於優質資產，採長期投資策略</w:t>
      </w:r>
    </w:p>
    <w:p/>
    <w:p/>
    <w:p>
      <w:pPr>
        <w:spacing w:before="120" w:after="120" w:line="360" w:lineRule="auto"/>
      </w:pPr>
      <w:r>
        <w:rPr>
          <w:color w:val="17A98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60" w:line="288" w:lineRule="auto"/>
      </w:pPr>
      <w:r>
        <w:rPr>
          <w:rFonts w:ascii="微軟正黑體" w:hAnsi="微軟正黑體"/>
          <w:b/>
          <w:color w:val="17A989"/>
          <w:sz w:val="36"/>
        </w:rPr>
        <w:t>📚 資料來源</w:t>
      </w:r>
    </w:p>
    <w:p>
      <w:pPr>
        <w:spacing w:before="120" w:after="120" w:line="360" w:lineRule="auto"/>
      </w:pPr>
      <w:r>
        <w:rPr>
          <w:color w:val="17A98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 w:line="360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https://www.bitget.com/zh-TC/price/prediction</w:t>
      </w:r>
    </w:p>
    <w:p>
      <w:pPr>
        <w:spacing w:before="80" w:after="80" w:line="360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https://www.binance.com/zh-TC/square/post/35108805011849</w:t>
      </w:r>
    </w:p>
    <w:p>
      <w:pPr>
        <w:spacing w:before="80" w:after="80" w:line="360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https://www.gate.com/zh/learn/articles/bitcoin-price-future-trends-and-analysis-of-influencing-factors/6784</w:t>
      </w:r>
    </w:p>
    <w:p>
      <w:pPr>
        <w:spacing w:before="80" w:after="80" w:line="360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https://www.osl.com/zh-Hant/bits/article/bitcoin-price-prediction-2026-2030-2040</w:t>
      </w:r>
    </w:p>
    <w:p>
      <w:pPr>
        <w:spacing w:before="80" w:after="80" w:line="360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https://cryptomus.com/zh/blog/bitcoin-price-prediction-can-btc-reach-1-million?srsltid=AfmBOoqDccl-pq3xMojsfQykJuV_2xO6s4HCxzukfWUYbmUMkd8NwWTh</w:t>
      </w:r>
    </w:p>
    <w:p/>
    <w:p/>
    <w:p>
      <w:pPr>
        <w:spacing w:before="120" w:after="120" w:line="360" w:lineRule="auto"/>
      </w:pPr>
      <w:r>
        <w:rPr>
          <w:color w:val="007AB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1a3a5c"/>
          </w:tcPr>
          <w:p>
            <w:pPr>
              <w:spacing w:before="200" w:after="200" w:line="360" w:lineRule="auto"/>
              <w:jc w:val="center"/>
            </w:pPr>
            <w:r>
              <w:rPr>
                <w:rFonts w:ascii="微軟正黑體" w:hAnsi="微軟正黑體"/>
                <w:color w:val="FFFFFF"/>
                <w:sz w:val="22"/>
              </w:rPr>
              <w:t>🚀 小安研究團隊出品 | 每日深度研究報告</w:t>
            </w:r>
          </w:p>
        </w:tc>
      </w:tr>
    </w:tbl>
    <w:sectPr w:rsidR="00FC693F" w:rsidRPr="0006063C" w:rsidSect="00034616">
      <w:pgSz w:w="15840" w:h="122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