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J.P. Morgan 2026年度投資展望</w:t>
      </w:r>
    </w:p>
    <w:p>
      <w:pPr>
        <w:jc w:val="center"/>
      </w:pPr>
      <w:r>
        <w:rPr>
          <w:sz w:val="28"/>
        </w:rPr>
        <w:t>AI Lift and Economic Drift｜深度分析報告</w:t>
      </w:r>
    </w:p>
    <w:p>
      <w:pPr>
        <w:jc w:val="center"/>
      </w:pPr>
      <w:r>
        <w:rPr>
          <w:sz w:val="20"/>
        </w:rPr>
        <w:t>研究日期：2026年5月7日｜來源：J.P. Morgan Asset Management</w:t>
      </w:r>
    </w:p>
    <w:p/>
    <w:p>
      <w:pPr>
        <w:pStyle w:val="Heading1"/>
      </w:pPr>
      <w:r>
        <w:t>📋 執行摘要</w:t>
      </w:r>
    </w:p>
    <w:p>
      <w:r>
        <w:t>2026年將是美國經濟韌性持續的一年，支持股票和企業信用等風險資產。但表面之下，周期性經濟動能放緩，K型經濟持續，中低所得消費者感到壓力，利率敏感領域（如房地產）仍然疲軟。</w:t>
      </w:r>
    </w:p>
    <w:p/>
    <w:p>
      <w:pPr>
        <w:pStyle w:val="Heading1"/>
      </w:pPr>
      <w:r>
        <w:t>🌡️ 2026經濟展望：冷 → 熱 → 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時期</w:t>
            </w:r>
          </w:p>
        </w:tc>
        <w:tc>
          <w:tcPr>
            <w:tcW w:type="dxa" w:w="2880"/>
          </w:tcPr>
          <w:p>
            <w:r>
              <w:t>經濟狀況</w:t>
            </w:r>
          </w:p>
        </w:tc>
        <w:tc>
          <w:tcPr>
            <w:tcW w:type="dxa" w:w="2880"/>
          </w:tcPr>
          <w:p>
            <w:r>
              <w:t>主因</w:t>
            </w:r>
          </w:p>
        </w:tc>
      </w:tr>
      <w:tr>
        <w:tc>
          <w:tcPr>
            <w:tcW w:type="dxa" w:w="2880"/>
          </w:tcPr>
          <w:p>
            <w:r>
              <w:t>2025年底-2026年初</w:t>
            </w:r>
          </w:p>
        </w:tc>
        <w:tc>
          <w:tcPr>
            <w:tcW w:type="dxa" w:w="2880"/>
          </w:tcPr>
          <w:p>
            <w:r>
              <w:t>通膨↑、經濟成長↑</w:t>
            </w:r>
          </w:p>
        </w:tc>
        <w:tc>
          <w:tcPr>
            <w:tcW w:type="dxa" w:w="2880"/>
          </w:tcPr>
          <w:p>
            <w:r>
              <w:t>關稅收入增加+OBBBA刺激</w:t>
            </w:r>
          </w:p>
        </w:tc>
      </w:tr>
      <w:tr>
        <w:tc>
          <w:tcPr>
            <w:tcW w:type="dxa" w:w="2880"/>
          </w:tcPr>
          <w:p>
            <w:r>
              <w:t>2026上半年</w:t>
            </w:r>
          </w:p>
        </w:tc>
        <w:tc>
          <w:tcPr>
            <w:tcW w:type="dxa" w:w="2880"/>
          </w:tcPr>
          <w:p>
            <w:r>
              <w:t>通膨達高峰後下降</w:t>
            </w:r>
          </w:p>
        </w:tc>
        <w:tc>
          <w:tcPr>
            <w:tcW w:type="dxa" w:w="2880"/>
          </w:tcPr>
          <w:p>
            <w:r>
              <w:t>關稅和移民限制的影響</w:t>
            </w:r>
          </w:p>
        </w:tc>
      </w:tr>
      <w:tr>
        <w:tc>
          <w:tcPr>
            <w:tcW w:type="dxa" w:w="2880"/>
          </w:tcPr>
          <w:p>
            <w:r>
              <w:t>2026下半年</w:t>
            </w:r>
          </w:p>
        </w:tc>
        <w:tc>
          <w:tcPr>
            <w:tcW w:type="dxa" w:w="2880"/>
          </w:tcPr>
          <w:p>
            <w:r>
              <w:t>通膨↓、經濟放緩</w:t>
            </w:r>
          </w:p>
        </w:tc>
        <w:tc>
          <w:tcPr>
            <w:tcW w:type="dxa" w:w="2880"/>
          </w:tcPr>
          <w:p>
            <w:r>
              <w:t>稅收退稅效應消退</w:t>
            </w:r>
          </w:p>
        </w:tc>
      </w:tr>
    </w:tbl>
    <w:p/>
    <w:p>
      <w:pPr>
        <w:pStyle w:val="Heading1"/>
      </w:pPr>
      <w:r>
        <w:t>🏦 聯準會政策走向</w:t>
      </w:r>
    </w:p>
    <w:p>
      <w:r>
        <w:t>• 官員立場分歧大：意味降息路徑淺（shallow easing path）</w:t>
      </w:r>
    </w:p>
    <w:p>
      <w:r>
        <w:t>• 預期2026年降息 2-3 次</w:t>
      </w:r>
    </w:p>
    <w:p>
      <w:r>
        <w:t>• 維持漸進式放緩節奏，風險雙向</w:t>
      </w:r>
    </w:p>
    <w:p/>
    <w:p>
      <w:pPr>
        <w:pStyle w:val="Heading1"/>
      </w:pPr>
      <w:r>
        <w:t>📈 股票市場展望</w:t>
      </w:r>
    </w:p>
    <w:p>
      <w:pPr>
        <w:pStyle w:val="Heading2"/>
      </w:pPr>
      <w:r>
        <w:t>估值與AI：泡沫但有支撐</w:t>
      </w:r>
    </w:p>
    <w:p>
      <w:r>
        <w:t>估值、獲利、AI 看起來像泡沫，但有實質基本面支撐。投資人應優先重視品質，專注結構性主題而非週期性主題。</w:t>
      </w:r>
    </w:p>
    <w:p>
      <w:pPr>
        <w:pStyle w:val="Heading2"/>
      </w:pPr>
      <w:r>
        <w:t>看好主題</w:t>
      </w:r>
    </w:p>
    <w:p>
      <w:r>
        <w:t>• 🤖 AI 生態系統擴展</w:t>
      </w:r>
    </w:p>
    <w:p>
      <w:r>
        <w:t>• 🏦 金融去監管（ banks、私募股权和信用）</w:t>
      </w:r>
    </w:p>
    <w:p>
      <w:r>
        <w:t>• 🔄 結構性改變而非短期週期</w:t>
      </w:r>
    </w:p>
    <w:p/>
    <w:p>
      <w:pPr>
        <w:pStyle w:val="Heading1"/>
      </w:pPr>
      <w:r>
        <w:t>🌏 國際股市機會</w:t>
      </w:r>
    </w:p>
    <w:p>
      <w:r>
        <w:t>與過去不同，美國與其他國家的獲利成長差距正在縮小，結構性改變正在發酵。</w:t>
      </w:r>
    </w:p>
    <w:p>
      <w:r>
        <w:t>• 💹 亞洲新興市場：AI、 政府投資、股东友好政策</w:t>
      </w:r>
    </w:p>
    <w:p>
      <w:r>
        <w:t>• 💶 歐洲和日本：價值股有機會</w:t>
      </w:r>
    </w:p>
    <w:p>
      <w:r>
        <w:t>• 📉 強勢美元暫緩，外國市場獲得喘息</w:t>
      </w:r>
    </w:p>
    <w:p/>
    <w:p>
      <w:pPr>
        <w:pStyle w:val="Heading1"/>
      </w:pPr>
      <w:r>
        <w:t>💼 另類投資觀點</w:t>
      </w:r>
    </w:p>
    <w:p>
      <w:r>
        <w:t>• AI 和主題式投資持續發酵</w:t>
      </w:r>
    </w:p>
    <w:p>
      <w:r>
        <w:t>• 可為集中投資组合加入多元化</w:t>
      </w:r>
    </w:p>
    <w:p>
      <w:r>
        <w:t>• 全球宏觀策略有催化劑到處可見：央行政策分歧、供應鏈回流、地緣風險</w:t>
      </w:r>
    </w:p>
    <w:p/>
    <w:p>
      <w:pPr>
        <w:pStyle w:val="Heading1"/>
      </w:pPr>
      <w:r>
        <w:t>🎯 資產配置建議</w:t>
      </w:r>
    </w:p>
    <w:p>
      <w:pPr>
        <w:pStyle w:val="Heading2"/>
      </w:pPr>
      <w:r>
        <w:t>固定收益</w:t>
      </w:r>
    </w:p>
    <w:p>
      <w:r>
        <w:t>• 固定收益投資不再是對利率方向的重大投注，而是管理一系列結果</w:t>
      </w:r>
    </w:p>
    <w:p>
      <w:r>
        <w:t>• 積極的固定收益管理、嚴格的風險控制、細心的定位比以往任何時候都重要</w:t>
      </w:r>
    </w:p>
    <w:p>
      <w:r>
        <w:t>• 擁抱收益，尤其是與穩健的企業、消費者和市政資產負債表相關的收益</w:t>
      </w:r>
    </w:p>
    <w:p>
      <w:pPr>
        <w:pStyle w:val="Heading2"/>
      </w:pPr>
      <w:r>
        <w:t>分散投資</w:t>
      </w:r>
    </w:p>
    <w:p>
      <w:r>
        <w:t>「分散投資已死」的說法被過度誇大。現在是重新「站穩腳跟」的絕佳時機。外國市場、債券、另類投資都將在投资组合構建中發揮關鍵作用。</w:t>
      </w:r>
    </w:p>
    <w:p/>
    <w:p>
      <w:pPr>
        <w:pStyle w:val="Heading1"/>
      </w:pPr>
      <w:r>
        <w:t>🇹🇼 對台灣投資人的建議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建議項目</w:t>
            </w:r>
          </w:p>
        </w:tc>
        <w:tc>
          <w:tcPr>
            <w:tcW w:type="dxa" w:w="4320"/>
          </w:tcPr>
          <w:p>
            <w:r>
              <w:t>具體內容</w:t>
            </w:r>
          </w:p>
        </w:tc>
      </w:tr>
      <w:tr>
        <w:tc>
          <w:tcPr>
            <w:tcW w:type="dxa" w:w="4320"/>
          </w:tcPr>
          <w:p>
            <w:r>
              <w:t>關注AI供應鏈</w:t>
            </w:r>
          </w:p>
        </w:tc>
        <w:tc>
          <w:tcPr>
            <w:tcW w:type="dxa" w:w="4320"/>
          </w:tcPr>
          <w:p>
            <w:r>
              <w:t>台灣在半導體和AI硬體供應鏈中扮演關鍵角色，相關標的值得關注</w:t>
            </w:r>
          </w:p>
        </w:tc>
      </w:tr>
      <w:tr>
        <w:tc>
          <w:tcPr>
            <w:tcW w:type="dxa" w:w="4320"/>
          </w:tcPr>
          <w:p>
            <w:r>
              <w:t>分散國際投資</w:t>
            </w:r>
          </w:p>
        </w:tc>
        <w:tc>
          <w:tcPr>
            <w:tcW w:type="dxa" w:w="4320"/>
          </w:tcPr>
          <w:p>
            <w:r>
              <w:t>不要只看美國，科技股增加對亞洲新興市場的配置</w:t>
            </w:r>
          </w:p>
        </w:tc>
      </w:tr>
      <w:tr>
        <w:tc>
          <w:tcPr>
            <w:tcW w:type="dxa" w:w="4320"/>
          </w:tcPr>
          <w:p>
            <w:r>
              <w:t>正視K型復甦</w:t>
            </w:r>
          </w:p>
        </w:tc>
        <w:tc>
          <w:tcPr>
            <w:tcW w:type="dxa" w:w="4320"/>
          </w:tcPr>
          <w:p>
            <w:r>
              <w:t>貧富差距擴大，消費模式分化，高端消費品和服務有機會</w:t>
            </w:r>
          </w:p>
        </w:tc>
      </w:tr>
      <w:tr>
        <w:tc>
          <w:tcPr>
            <w:tcW w:type="dxa" w:w="4320"/>
          </w:tcPr>
          <w:p>
            <w:r>
              <w:t>注意利率風險</w:t>
            </w:r>
          </w:p>
        </w:tc>
        <w:tc>
          <w:tcPr>
            <w:tcW w:type="dxa" w:w="4320"/>
          </w:tcPr>
          <w:p>
            <w:r>
              <w:t>聯準會降息路徑淺，固定收益產品要選擇優質標的</w:t>
            </w:r>
          </w:p>
        </w:tc>
      </w:tr>
      <w:tr>
        <w:tc>
          <w:tcPr>
            <w:tcW w:type="dxa" w:w="4320"/>
          </w:tcPr>
          <w:p>
            <w:r>
              <w:t>品質優於數量</w:t>
            </w:r>
          </w:p>
        </w:tc>
        <w:tc>
          <w:tcPr>
            <w:tcW w:type="dxa" w:w="4320"/>
          </w:tcPr>
          <w:p>
            <w:r>
              <w:t>避免追逐高估值成長股，关注有實質基本面的優質公司</w:t>
            </w:r>
          </w:p>
        </w:tc>
      </w:tr>
    </w:tbl>
    <w:p/>
    <w:p>
      <w:pPr>
        <w:pStyle w:val="Heading1"/>
      </w:pPr>
      <w:r>
        <w:t>⚠️ 關鍵風險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風險項目</w:t>
            </w:r>
          </w:p>
        </w:tc>
        <w:tc>
          <w:tcPr>
            <w:tcW w:type="dxa" w:w="4320"/>
          </w:tcPr>
          <w:p>
            <w:r>
              <w:t>說明</w:t>
            </w:r>
          </w:p>
        </w:tc>
      </w:tr>
      <w:tr>
        <w:tc>
          <w:tcPr>
            <w:tcW w:type="dxa" w:w="4320"/>
          </w:tcPr>
          <w:p>
            <w:r>
              <w:t>風險資產高起點</w:t>
            </w:r>
          </w:p>
        </w:tc>
        <w:tc>
          <w:tcPr>
            <w:tcW w:type="dxa" w:w="4320"/>
          </w:tcPr>
          <w:p>
            <w:r>
              <w:t>美國風險資產估值過高，投资组合可能過度集中</w:t>
            </w:r>
          </w:p>
        </w:tc>
      </w:tr>
      <w:tr>
        <w:tc>
          <w:tcPr>
            <w:tcW w:type="dxa" w:w="4320"/>
          </w:tcPr>
          <w:p>
            <w:r>
              <w:t>政策不確定性</w:t>
            </w:r>
          </w:p>
        </w:tc>
        <w:tc>
          <w:tcPr>
            <w:tcW w:type="dxa" w:w="4320"/>
          </w:tcPr>
          <w:p>
            <w:r>
              <w:t>關稅、移民政策、OBBBA實施細節可能改變</w:t>
            </w:r>
          </w:p>
        </w:tc>
      </w:tr>
      <w:tr>
        <w:tc>
          <w:tcPr>
            <w:tcW w:type="dxa" w:w="4320"/>
          </w:tcPr>
          <w:p>
            <w:r>
              <w:t>通膨回升</w:t>
            </w:r>
          </w:p>
        </w:tc>
        <w:tc>
          <w:tcPr>
            <w:tcW w:type="dxa" w:w="4320"/>
          </w:tcPr>
          <w:p>
            <w:r>
              <w:t>關稅傳導可能導致2026上半年通膨高於預期</w:t>
            </w:r>
          </w:p>
        </w:tc>
      </w:tr>
      <w:tr>
        <w:tc>
          <w:tcPr>
            <w:tcW w:type="dxa" w:w="4320"/>
          </w:tcPr>
          <w:p>
            <w:r>
              <w:t>市場波動</w:t>
            </w:r>
          </w:p>
        </w:tc>
        <w:tc>
          <w:tcPr>
            <w:tcW w:type="dxa" w:w="4320"/>
          </w:tcPr>
          <w:p>
            <w:r>
              <w:t>利率波動可能加劇，投資人需要保持彈性</w:t>
            </w:r>
          </w:p>
        </w:tc>
      </w:tr>
    </w:tbl>
    <w:p/>
    <w:p>
      <w:pPr>
        <w:pStyle w:val="Heading1"/>
      </w:pPr>
      <w:r>
        <w:t>📌 結論</w:t>
      </w:r>
    </w:p>
    <w:p>
      <w:r>
        <w:t>2026年表面平靜，但投資人需要更加努力才能在表面下取得進一步進展。建議：</w:t>
        <w:br/>
        <w:br/>
      </w:r>
      <w:r>
        <w:rPr>
          <w:b/>
        </w:rPr>
        <w:t>1. 拥抱收益：固定收益的收益機會不容忽視</w:t>
        <w:br/>
      </w:r>
      <w:r>
        <w:rPr>
          <w:b/>
        </w:rPr>
        <w:t>2. 品質優先：選擇有實質基本面的優質公司</w:t>
        <w:br/>
      </w:r>
      <w:r>
        <w:rPr>
          <w:b/>
        </w:rPr>
        <w:t>3. 分散投資：外國市場、債券、另類投資都重要</w:t>
        <w:br/>
      </w:r>
      <w:r>
        <w:rPr>
          <w:b/>
        </w:rPr>
        <w:t>4. 關注AI主題：但要保持彈性，隨時調整</w:t>
        <w:br/>
      </w:r>
    </w:p>
    <w:p/>
    <w:p>
      <w:pPr>
        <w:jc w:val="center"/>
      </w:pPr>
      <w:r>
        <w:rPr>
          <w:sz w:val="18"/>
        </w:rPr>
        <w:t>報告日期：2026年5月7日｜來源：J.P. Morgan Asset Management｜2026 Year-Ahead Investment Outlook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