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A5C9E"/>
          <w:sz w:val="44"/>
        </w:rPr>
        <w:t>健康醫療產業前景與保健趨勢</w:t>
      </w:r>
    </w:p>
    <w:p>
      <w:pPr>
        <w:jc w:val="center"/>
      </w:pPr>
      <w:r>
        <w:rPr>
          <w:rFonts w:ascii="Microsoft JhengHei" w:hAnsi="Microsoft JhengHei"/>
          <w:color w:val="4A90D9"/>
          <w:sz w:val="28"/>
        </w:rPr>
        <w:t>深度研究報告</w:t>
      </w:r>
    </w:p>
    <w:p/>
    <w:p>
      <w:pPr>
        <w:jc w:val="center"/>
      </w:pPr>
      <w:r>
        <w:rPr>
          <w:color w:val="666666"/>
          <w:sz w:val="24"/>
        </w:rPr>
        <w:t>2026年5月4日</w:t>
      </w:r>
    </w:p>
    <w:p>
      <w:pPr>
        <w:jc w:val="center"/>
      </w:pPr>
      <w:r>
        <w:rPr>
          <w:color w:val="4A90D9"/>
          <w:sz w:val="16"/>
        </w:rPr>
        <w:t>────────────────────────────────────────────────────────────</w:t>
      </w:r>
    </w:p>
    <w:p/>
    <w:p>
      <w:r>
        <w:rPr>
          <w:rFonts w:ascii="Microsoft JhengHei" w:hAnsi="Microsoft JhengHei"/>
          <w:b/>
          <w:color w:val="1A5C9E"/>
          <w:sz w:val="28"/>
        </w:rPr>
        <w:t>📋 研究摘要</w:t>
      </w:r>
    </w:p>
    <w:p>
      <w:pPr>
        <w:spacing w:line="360" w:lineRule="auto"/>
      </w:pPr>
      <w:r>
        <w:t>健康醫療產業正站在十年一遇的結構性轉折點。全球生技醫療市場規模已突破兆美元大關，結合人口老齡化、AI製藥技術突破與精準醫療的快速發展，為投資者開闢了寬廣的長期增長路徑。本報告從四大維度全面剖析健康醫療產業前景：</w:t>
        <w:br/>
        <w:t>1. 健康醫療產業發展趨勢（製藥、生物製劑、數位醫療）</w:t>
        <w:br/>
        <w:t>2. 人口老化相關商機（台灣、中國大陸與全球銀髮經濟）</w:t>
        <w:br/>
        <w:t>3. 保健科技與新興技術（AI、再生醫療、精準健康）</w:t>
        <w:br/>
        <w:t>4. 保健食品市場與投資建議</w:t>
        <w:br/>
        <w:br/>
        <w:t>本報告所有內容使用繁體中文撰寫，旨在為老闆提供具體、可操作的投资參考。</w:t>
      </w:r>
    </w:p>
    <w:p/>
    <w:p>
      <w:r>
        <w:rPr>
          <w:rFonts w:ascii="Microsoft JhengHei" w:hAnsi="Microsoft JhengHei"/>
          <w:b/>
          <w:color w:val="1A5C9E"/>
          <w:sz w:val="28"/>
        </w:rPr>
        <w:t>📑 研究大綱</w:t>
      </w:r>
    </w:p>
    <w:p>
      <w:pPr>
        <w:spacing w:before="80"/>
        <w:ind w:left="283"/>
      </w:pPr>
      <w:r>
        <w:rPr>
          <w:b/>
        </w:rPr>
        <w:t xml:space="preserve">一、 </w:t>
      </w:r>
      <w:r>
        <w:rPr>
          <w:rFonts w:ascii="Microsoft JhengHei" w:hAnsi="Microsoft JhengHei"/>
        </w:rPr>
        <w:t>健康醫療產業發展趨勢</w:t>
      </w:r>
    </w:p>
    <w:p>
      <w:pPr>
        <w:spacing w:before="80"/>
        <w:ind w:left="283"/>
      </w:pPr>
      <w:r>
        <w:rPr>
          <w:b/>
        </w:rPr>
        <w:t xml:space="preserve">二、 </w:t>
      </w:r>
      <w:r>
        <w:rPr>
          <w:rFonts w:ascii="Microsoft JhengHei" w:hAnsi="Microsoft JhengHei"/>
        </w:rPr>
        <w:t>人口老化與銀髮經濟商機</w:t>
      </w:r>
    </w:p>
    <w:p>
      <w:pPr>
        <w:spacing w:before="80"/>
        <w:ind w:left="283"/>
      </w:pPr>
      <w:r>
        <w:rPr>
          <w:b/>
        </w:rPr>
        <w:t xml:space="preserve">三、 </w:t>
      </w:r>
      <w:r>
        <w:rPr>
          <w:rFonts w:ascii="Microsoft JhengHei" w:hAnsi="Microsoft JhengHei"/>
        </w:rPr>
        <w:t>保健科技與新興技術</w:t>
      </w:r>
    </w:p>
    <w:p>
      <w:pPr>
        <w:spacing w:before="80"/>
        <w:ind w:left="283"/>
      </w:pPr>
      <w:r>
        <w:rPr>
          <w:b/>
        </w:rPr>
        <w:t xml:space="preserve">四、 </w:t>
      </w:r>
      <w:r>
        <w:rPr>
          <w:rFonts w:ascii="Microsoft JhengHei" w:hAnsi="Microsoft JhengHei"/>
        </w:rPr>
        <w:t>保健食品市場分析</w:t>
      </w:r>
    </w:p>
    <w:p>
      <w:pPr>
        <w:spacing w:before="80"/>
        <w:ind w:left="283"/>
      </w:pPr>
      <w:r>
        <w:rPr>
          <w:b/>
        </w:rPr>
        <w:t xml:space="preserve">五、 </w:t>
      </w:r>
      <w:r>
        <w:rPr>
          <w:rFonts w:ascii="Microsoft JhengHei" w:hAnsi="Microsoft JhengHei"/>
        </w:rPr>
        <w:t>投資建議與風險提示</w:t>
      </w:r>
    </w:p>
    <w:p>
      <w:r>
        <w:br w:type="page"/>
      </w:r>
    </w:p>
    <w:p>
      <w:r>
        <w:rPr>
          <w:rFonts w:ascii="Microsoft JhengHei" w:hAnsi="Microsoft JhengHei"/>
          <w:b/>
          <w:color w:val="1A5C9E"/>
          <w:sz w:val="32"/>
        </w:rPr>
        <w:t>一、健康醫療產業發展趨勢</w:t>
      </w:r>
    </w:p>
    <w:p>
      <w:r>
        <w:rPr>
          <w:rFonts w:ascii="Microsoft JhengHei" w:hAnsi="Microsoft JhengHei"/>
          <w:b/>
          <w:color w:val="2E75B6"/>
          <w:sz w:val="26"/>
        </w:rPr>
        <w:t>1.1 全球製藥與生技產業概況</w:t>
      </w:r>
    </w:p>
    <w:p>
      <w:pPr>
        <w:spacing w:line="360" w:lineRule="auto"/>
      </w:pPr>
      <w:r>
        <w:t>製藥產業在全球化、技術創新、法規變化和多樣化消費者需求的驅動下，正面臨前所未有的挑戰和機遇。根據資誠（PwC）發布之《2025生技醫療產業全球發展趨勢》，生技醫療產業的價值增長尚未跟上市場步伐，總股東報酬率明顯低於市場平均水平，意味着落後者蘊含着龐大的改善與追趕潛力。</w:t>
      </w:r>
    </w:p>
    <w:p>
      <w:r>
        <w:rPr>
          <w:b/>
          <w:color w:val="2E75B6"/>
        </w:rPr>
        <w:t>【2025年製藥產業五大發展趨勢】</w:t>
      </w:r>
    </w:p>
    <w:tbl>
      <w:tblPr>
        <w:tblStyle w:val="TableGrid"/>
        <w:tblW w:type="auto" w:w="0"/>
        <w:tblLook w:firstColumn="1" w:firstRow="1" w:lastColumn="0" w:lastRow="0" w:noHBand="0" w:noVBand="1" w:val="04A0"/>
      </w:tblPr>
      <w:tblGrid>
        <w:gridCol w:w="4703"/>
        <w:gridCol w:w="4703"/>
      </w:tblGrid>
      <w:tr>
        <w:tc>
          <w:tcPr>
            <w:tcW w:type="dxa" w:w="4703"/>
            <w:shd w:val="clear" w:color="auto" w:fill="1A5C9E"/>
          </w:tcPr>
          <w:p>
            <w:pPr>
              <w:jc w:val="center"/>
            </w:pPr>
            <w:r>
              <w:rPr>
                <w:b/>
                <w:color w:val="FFFFFF"/>
                <w:sz w:val="22"/>
              </w:rPr>
              <w:t>趨勢</w:t>
            </w:r>
          </w:p>
        </w:tc>
        <w:tc>
          <w:tcPr>
            <w:tcW w:type="dxa" w:w="4703"/>
            <w:shd w:val="clear" w:color="auto" w:fill="1A5C9E"/>
          </w:tcPr>
          <w:p>
            <w:pPr>
              <w:jc w:val="center"/>
            </w:pPr>
            <w:r>
              <w:rPr>
                <w:b/>
                <w:color w:val="FFFFFF"/>
                <w:sz w:val="22"/>
              </w:rPr>
              <w:t>核心內涵</w:t>
            </w:r>
          </w:p>
        </w:tc>
      </w:tr>
      <w:tr>
        <w:tc>
          <w:tcPr>
            <w:tcW w:type="dxa" w:w="4703"/>
          </w:tcPr>
          <w:p>
            <w:r>
              <w:t>① AI人工智慧的廣泛應用</w:t>
            </w:r>
          </w:p>
        </w:tc>
        <w:tc>
          <w:tcPr>
            <w:tcW w:type="dxa" w:w="4703"/>
          </w:tcPr>
          <w:p>
            <w:r>
              <w:t>AI已深入藥物研發、臨床試驗設計與患者管理，輝瑞、賽諾菲等大廠已採用數位孿生技術，將研發週期由數週縮短至數小時。未來五年AI可望促進生物製藥公司跨部門營收增長達11%。</w:t>
            </w:r>
          </w:p>
        </w:tc>
      </w:tr>
      <w:tr>
        <w:tc>
          <w:tcPr>
            <w:tcW w:type="dxa" w:w="4703"/>
            <w:shd w:val="clear" w:color="auto" w:fill="E8F4FD"/>
          </w:tcPr>
          <w:p>
            <w:r>
              <w:t>② 生物學知識的深入理解</w:t>
            </w:r>
          </w:p>
        </w:tc>
        <w:tc>
          <w:tcPr>
            <w:tcW w:type="dxa" w:w="4703"/>
            <w:shd w:val="clear" w:color="auto" w:fill="E8F4FD"/>
          </w:tcPr>
          <w:p>
            <w:r>
              <w:t>基因編輯、細胞療法與分子生物學的突破，讓個人化醫療介入成為可能。新一代CAR-T與基因療法已從實驗室走向商業化階段。</w:t>
            </w:r>
          </w:p>
        </w:tc>
      </w:tr>
      <w:tr>
        <w:tc>
          <w:tcPr>
            <w:tcW w:type="dxa" w:w="4703"/>
          </w:tcPr>
          <w:p>
            <w:r>
              <w:t>③ 藥品價格的持續下降</w:t>
            </w:r>
          </w:p>
        </w:tc>
        <w:tc>
          <w:tcPr>
            <w:tcW w:type="dxa" w:w="4703"/>
          </w:tcPr>
          <w:p>
            <w:r>
              <w:t>美國通膨削減法案（IRA）及各國價格管制壓力持續，製藥公司被迫重新評估商業模式，退出缺乏經濟優勢的市場。</w:t>
            </w:r>
          </w:p>
        </w:tc>
      </w:tr>
      <w:tr>
        <w:tc>
          <w:tcPr>
            <w:tcW w:type="dxa" w:w="4703"/>
            <w:shd w:val="clear" w:color="auto" w:fill="E8F4FD"/>
          </w:tcPr>
          <w:p>
            <w:r>
              <w:t>④ 消費者賦權的增強</w:t>
            </w:r>
          </w:p>
        </w:tc>
        <w:tc>
          <w:tcPr>
            <w:tcW w:type="dxa" w:w="4703"/>
            <w:shd w:val="clear" w:color="auto" w:fill="E8F4FD"/>
          </w:tcPr>
          <w:p>
            <w:r>
              <w:t>患者用藥意識提升，數位健康工具普及，制藥公司須更加重視與患者的直接關係與品牌信任建立。</w:t>
            </w:r>
          </w:p>
        </w:tc>
      </w:tr>
      <w:tr>
        <w:tc>
          <w:tcPr>
            <w:tcW w:type="dxa" w:w="4703"/>
          </w:tcPr>
          <w:p>
            <w:r>
              <w:t>⑤ 全球危機時代的來臨</w:t>
            </w:r>
          </w:p>
        </w:tc>
        <w:tc>
          <w:tcPr>
            <w:tcW w:type="dxa" w:w="4703"/>
          </w:tcPr>
          <w:p>
            <w:r>
              <w:t>供應鏈風險與地緣政治不确定性，促使藥廠加速供應鏈多元化與區域化布局。</w:t>
            </w:r>
          </w:p>
        </w:tc>
      </w:tr>
    </w:tbl>
    <w:p/>
    <w:p>
      <w:r>
        <w:rPr>
          <w:rFonts w:ascii="Microsoft JhengHei" w:hAnsi="Microsoft JhengHei"/>
          <w:b/>
          <w:color w:val="2E75B6"/>
          <w:sz w:val="26"/>
        </w:rPr>
        <w:t>1.2 數位醫療與AI製藥的爆發式成長</w:t>
      </w:r>
    </w:p>
    <w:p>
      <w:pPr>
        <w:spacing w:line="360" w:lineRule="auto"/>
      </w:pPr>
      <w:r>
        <w:t>勤業眾信（Deloitte）《2025生命科技與醫療照護產業展望》指出，AI與數位孿生技術已成為生技醫療產業的核心焦點。根據其統計，2025年全球醫療保健生成式AI市場規模將超過27.9億美元，預計2035年將突破509.2億美元，年複合成長率高達33.7%。</w:t>
      </w:r>
    </w:p>
    <w:p>
      <w:pPr>
        <w:spacing w:line="360" w:lineRule="auto"/>
      </w:pPr>
      <w:r>
        <w:t>在台灣方面，2025年台灣醫療科技展匯聚超過600家機構參展、設置2,100個攤位，全部聚焦AI應用。參展重點包括：AI影像分析輔助判讀、生成式AI導入臨床病歷書寫流程、裸錠藥物AI辨識，以及AI結合基因定序與大數據，精準為癌友找到救命標靶藥物。</w:t>
      </w:r>
    </w:p>
    <w:p/>
    <w:p>
      <w:r>
        <w:rPr>
          <w:rFonts w:ascii="Microsoft JhengHei" w:hAnsi="Microsoft JhengHei"/>
          <w:b/>
          <w:color w:val="2E75B6"/>
          <w:sz w:val="26"/>
        </w:rPr>
        <w:t>1.3 全球製藥併購與授權動態</w:t>
      </w:r>
    </w:p>
    <w:p>
      <w:pPr>
        <w:spacing w:line="360" w:lineRule="auto"/>
      </w:pPr>
      <w:r>
        <w:t>根據安永（EY）《2025年生物科技產業報告》，即便市場對生技產業的整體觀點偏向悲觀，2024年美國與歐洲上市生技公司的營收仍成長6.8%，總額達2,050億美元。然而，多數公司仍處於虧損狀態，整體淨損達268億美元，主因是研發費用持續攀升。</w:t>
      </w:r>
    </w:p>
    <w:p>
      <w:pPr>
        <w:spacing w:line="360" w:lineRule="auto"/>
      </w:pPr>
      <w:r>
        <w:t>投資人愈發強調「確定性」，純概念股已難獲得資金青睞。資金高度集中在具備臨床二期數據或擁有獨家技術的公司。展望2026年，摩根大通健康醫療大會定調：「資金更挑剔，只買確定性。」大型藥廠併購策略將從「世紀大併購」轉向50至150億美元規模的「珍珠補強」，目標鎖定已進入臨床三期、具明確市場護城河的中小型公司。</w:t>
      </w:r>
    </w:p>
    <w:p>
      <w:r>
        <w:br w:type="page"/>
      </w:r>
    </w:p>
    <w:p>
      <w:r>
        <w:rPr>
          <w:rFonts w:ascii="Microsoft JhengHei" w:hAnsi="Microsoft JhengHei"/>
          <w:b/>
          <w:color w:val="1A5C9E"/>
          <w:sz w:val="32"/>
        </w:rPr>
        <w:t>二、人口老化與銀髮經濟商機</w:t>
      </w:r>
    </w:p>
    <w:p>
      <w:r>
        <w:rPr>
          <w:rFonts w:ascii="Microsoft JhengHei" w:hAnsi="Microsoft JhengHei"/>
          <w:b/>
          <w:color w:val="2E75B6"/>
          <w:sz w:val="26"/>
        </w:rPr>
        <w:t>2.1 台灣：正式進入超高齡社會</w:t>
      </w:r>
    </w:p>
    <w:p>
      <w:pPr>
        <w:spacing w:line="360" w:lineRule="auto"/>
      </w:pPr>
      <w:r>
        <w:t>根據行政院統計，2025年台灣65歲以上人口比例已達到20%，正式進入「超高齡社會」——這是WHO定義的、最嚴峻的人口老化階段。台灣銀髮族每年平均花費逾8,600元購買保健食品，購買率高達55%，且較疫情前成長54%，市場刚性的需求結構清晰。</w:t>
      </w:r>
    </w:p>
    <w:p>
      <w:pPr>
        <w:spacing w:line="360" w:lineRule="auto"/>
      </w:pPr>
      <w:r>
        <w:t>行政院同步推動「健康臺灣深耕計畫」及「三高防治888計畫」，聚焦改善醫療工作環境、推動智慧科技應用、高血壓、高血糖、高血脂等慢性病防治工作。衛生福利部已於2024年9月啟動「負責任AI執行中心」，為AI醫療應用建立完善的驗證與監理框架。這意味着政策紅利將持續流向具技術與合规優勢的企業。</w:t>
      </w:r>
    </w:p>
    <w:p>
      <w:r>
        <w:rPr>
          <w:b/>
        </w:rPr>
        <w:t>【台灣銀髮市場關鍵數據】</w:t>
      </w:r>
    </w:p>
    <w:tbl>
      <w:tblPr>
        <w:tblStyle w:val="TableGrid"/>
        <w:tblW w:type="auto" w:w="0"/>
        <w:tblLook w:firstColumn="1" w:firstRow="1" w:lastColumn="0" w:lastRow="0" w:noHBand="0" w:noVBand="1" w:val="04A0"/>
      </w:tblPr>
      <w:tblGrid>
        <w:gridCol w:w="4703"/>
        <w:gridCol w:w="4703"/>
      </w:tblGrid>
      <w:tr>
        <w:tc>
          <w:tcPr>
            <w:tcW w:type="dxa" w:w="4703"/>
            <w:shd w:val="clear" w:color="auto" w:fill="1A5C9E"/>
          </w:tcPr>
          <w:p>
            <w:pPr>
              <w:jc w:val="center"/>
            </w:pPr>
            <w:r>
              <w:rPr>
                <w:b/>
                <w:color w:val="FFFFFF"/>
                <w:sz w:val="22"/>
              </w:rPr>
              <w:t>指標</w:t>
            </w:r>
          </w:p>
        </w:tc>
        <w:tc>
          <w:tcPr>
            <w:tcW w:type="dxa" w:w="4703"/>
            <w:shd w:val="clear" w:color="auto" w:fill="1A5C9E"/>
          </w:tcPr>
          <w:p>
            <w:pPr>
              <w:jc w:val="center"/>
            </w:pPr>
            <w:r>
              <w:rPr>
                <w:b/>
                <w:color w:val="FFFFFF"/>
                <w:sz w:val="22"/>
              </w:rPr>
              <w:t>數據</w:t>
            </w:r>
          </w:p>
        </w:tc>
      </w:tr>
      <w:tr>
        <w:tc>
          <w:tcPr>
            <w:tcW w:type="dxa" w:w="4703"/>
          </w:tcPr>
          <w:p>
            <w:r>
              <w:t>超高齡社會（65歲以上人口比例）</w:t>
            </w:r>
          </w:p>
        </w:tc>
        <w:tc>
          <w:tcPr>
            <w:tcW w:type="dxa" w:w="4703"/>
          </w:tcPr>
          <w:p>
            <w:r>
              <w:t>已達20%（2025年）</w:t>
            </w:r>
          </w:p>
        </w:tc>
      </w:tr>
      <w:tr>
        <w:tc>
          <w:tcPr>
            <w:tcW w:type="dxa" w:w="4703"/>
            <w:shd w:val="clear" w:color="auto" w:fill="E8F4FD"/>
          </w:tcPr>
          <w:p>
            <w:r>
              <w:t>保健食品每人年均消費</w:t>
            </w:r>
          </w:p>
        </w:tc>
        <w:tc>
          <w:tcPr>
            <w:tcW w:type="dxa" w:w="4703"/>
            <w:shd w:val="clear" w:color="auto" w:fill="E8F4FD"/>
          </w:tcPr>
          <w:p>
            <w:r>
              <w:t>逾8,600元</w:t>
            </w:r>
          </w:p>
        </w:tc>
      </w:tr>
      <w:tr>
        <w:tc>
          <w:tcPr>
            <w:tcW w:type="dxa" w:w="4703"/>
          </w:tcPr>
          <w:p>
            <w:r>
              <w:t>保健食品年購買率</w:t>
            </w:r>
          </w:p>
        </w:tc>
        <w:tc>
          <w:tcPr>
            <w:tcW w:type="dxa" w:w="4703"/>
          </w:tcPr>
          <w:p>
            <w:r>
              <w:t>55%</w:t>
            </w:r>
          </w:p>
        </w:tc>
      </w:tr>
      <w:tr>
        <w:tc>
          <w:tcPr>
            <w:tcW w:type="dxa" w:w="4703"/>
            <w:shd w:val="clear" w:color="auto" w:fill="E8F4FD"/>
          </w:tcPr>
          <w:p>
            <w:r>
              <w:t>相較疫情前消費成長</w:t>
            </w:r>
          </w:p>
        </w:tc>
        <w:tc>
          <w:tcPr>
            <w:tcW w:type="dxa" w:w="4703"/>
            <w:shd w:val="clear" w:color="auto" w:fill="E8F4FD"/>
          </w:tcPr>
          <w:p>
            <w:r>
              <w:t>54%</w:t>
            </w:r>
          </w:p>
        </w:tc>
      </w:tr>
    </w:tbl>
    <w:p/>
    <w:p>
      <w:r>
        <w:rPr>
          <w:rFonts w:ascii="Microsoft JhengHei" w:hAnsi="Microsoft JhengHei"/>
          <w:b/>
          <w:color w:val="2E75B6"/>
          <w:sz w:val="26"/>
        </w:rPr>
        <w:t>2.2 中國大陸：30兆銀髮經濟新藍海</w:t>
      </w:r>
    </w:p>
    <w:p>
      <w:pPr>
        <w:spacing w:line="360" w:lineRule="auto"/>
      </w:pPr>
      <w:r>
        <w:t>根據《銀髮經濟藍皮書——中國銀髮經濟發展報告（2025）》，2025年中國大陸60歲以上人口達3.2億人，占全體人口23%，其中65歲以上人口達2.2億人（占比15.9%）。2025年出生人口僅792萬人，死亡人口1,131萬人，呈現「生不如死」的嚴峻結構，銀髮經濟已成為政策與市場的雙重焦點。</w:t>
      </w:r>
    </w:p>
    <w:p>
      <w:pPr>
        <w:spacing w:line="360" w:lineRule="auto"/>
      </w:pPr>
      <w:r>
        <w:t>《十五五規劃綱要》新增第四十章「積極應對人口老齡化問題」，明確將大力發展銀髮經濟列為重點。2025年銀髮經濟產業規模將達9兆元，預計2035年將突破30兆元。全國政協委員金李預言：2050年銀髮經濟將創造至少1億個就業崗位，成為經濟增長新核心引擎。</w:t>
      </w:r>
    </w:p>
    <w:p>
      <w:r>
        <w:rPr>
          <w:b/>
        </w:rPr>
        <w:t>【中國銀髮經濟四大核心賽道】</w:t>
      </w:r>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pPr>
              <w:jc w:val="center"/>
            </w:pPr>
            <w:r>
              <w:rPr>
                <w:b/>
                <w:color w:val="FFFFFF"/>
                <w:sz w:val="22"/>
              </w:rPr>
              <w:t>賽道</w:t>
            </w:r>
          </w:p>
        </w:tc>
        <w:tc>
          <w:tcPr>
            <w:tcW w:type="dxa" w:w="4703"/>
            <w:shd w:val="clear" w:color="auto" w:fill="2E75B6"/>
          </w:tcPr>
          <w:p>
            <w:pPr>
              <w:jc w:val="center"/>
            </w:pPr>
            <w:r>
              <w:rPr>
                <w:b/>
                <w:color w:val="FFFFFF"/>
                <w:sz w:val="22"/>
              </w:rPr>
              <w:t>重點方向</w:t>
            </w:r>
          </w:p>
        </w:tc>
      </w:tr>
      <w:tr>
        <w:tc>
          <w:tcPr>
            <w:tcW w:type="dxa" w:w="4703"/>
          </w:tcPr>
          <w:p>
            <w:r>
              <w:t>智慧健康與穿戴設備</w:t>
            </w:r>
          </w:p>
        </w:tc>
        <w:tc>
          <w:tcPr>
            <w:tcW w:type="dxa" w:w="4703"/>
          </w:tcPr>
          <w:p>
            <w:r>
              <w:t>華為Watch D血壓心電圖監測、小米智慧手環，華為、小米、蘋果主導市場</w:t>
            </w:r>
          </w:p>
        </w:tc>
      </w:tr>
      <w:tr>
        <w:tc>
          <w:tcPr>
            <w:tcW w:type="dxa" w:w="4703"/>
            <w:shd w:val="clear" w:color="auto" w:fill="E8F4FD"/>
          </w:tcPr>
          <w:p>
            <w:r>
              <w:t>智慧家居與養老機器人</w:t>
            </w:r>
          </w:p>
        </w:tc>
        <w:tc>
          <w:tcPr>
            <w:tcW w:type="dxa" w:w="4703"/>
            <w:shd w:val="clear" w:color="auto" w:fill="E8F4FD"/>
          </w:tcPr>
          <w:p>
            <w:r>
              <w:t>海爾、美的、螢石網路建構智慧養老居家；機器人公司外骨骼康復機器人已進入試點機構</w:t>
            </w:r>
          </w:p>
        </w:tc>
      </w:tr>
      <w:tr>
        <w:tc>
          <w:tcPr>
            <w:tcW w:type="dxa" w:w="4703"/>
          </w:tcPr>
          <w:p>
            <w:r>
              <w:t>銀髮金融與服務</w:t>
            </w:r>
          </w:p>
        </w:tc>
        <w:tc>
          <w:tcPr>
            <w:tcW w:type="dxa" w:w="4703"/>
          </w:tcPr>
          <w:p>
            <w:r>
              <w:t>養老金融產品、養老保險、專業照護服務等，銀行、保險機構積極布局</w:t>
            </w:r>
          </w:p>
        </w:tc>
      </w:tr>
      <w:tr>
        <w:tc>
          <w:tcPr>
            <w:tcW w:type="dxa" w:w="4703"/>
            <w:shd w:val="clear" w:color="auto" w:fill="E8F4FD"/>
          </w:tcPr>
          <w:p>
            <w:r>
              <w:t>適老化產品與基礎建設</w:t>
            </w:r>
          </w:p>
        </w:tc>
        <w:tc>
          <w:tcPr>
            <w:tcW w:type="dxa" w:w="4703"/>
            <w:shd w:val="clear" w:color="auto" w:fill="E8F4FD"/>
          </w:tcPr>
          <w:p>
            <w:r>
              <w:t>AI智慧床、跌倒雷達、輔具等硬體需求，帶動半導體晶片、傳感器上游客戶端</w:t>
            </w:r>
          </w:p>
        </w:tc>
      </w:tr>
    </w:tbl>
    <w:p/>
    <w:p>
      <w:r>
        <w:rPr>
          <w:rFonts w:ascii="Microsoft JhengHei" w:hAnsi="Microsoft JhengHei"/>
          <w:b/>
          <w:color w:val="2E75B6"/>
          <w:sz w:val="26"/>
        </w:rPr>
        <w:t>2.3 全球老齡化：長期結構性機遇</w:t>
      </w:r>
    </w:p>
    <w:p>
      <w:pPr>
        <w:spacing w:line="360" w:lineRule="auto"/>
      </w:pPr>
      <w:r>
        <w:t>根據聯合國統計，全球60歲以上人口於2017年達9.62億（占13%），預估到2050年將激增至21億。WHO將銀髮族保健需求分為幾大類：心血管健康、骨關節、認知功能、視力保健與肌肉維持，這些都構成生技製藥與保健食品的龐大應用場景。</w:t>
      </w:r>
    </w:p>
    <w:p>
      <w:pPr>
        <w:spacing w:line="360" w:lineRule="auto"/>
      </w:pPr>
      <w:r>
        <w:t>全球銀髮經濟「消費力」驚人：據香港貿發局2025年調查，受訪中國大陸銀髮族的日常消費品及服務月均消費約達人民幣7,000元，一線城市更達8,000元。這意味着，掌握老年群體消費入口的企業，將享有長期穩定的現金流。</w:t>
      </w:r>
    </w:p>
    <w:p>
      <w:r>
        <w:br w:type="page"/>
      </w:r>
    </w:p>
    <w:p>
      <w:r>
        <w:rPr>
          <w:rFonts w:ascii="Microsoft JhengHei" w:hAnsi="Microsoft JhengHei"/>
          <w:b/>
          <w:color w:val="1A5C9E"/>
          <w:sz w:val="32"/>
        </w:rPr>
        <w:t>三、保健科技與新興技術</w:t>
      </w:r>
    </w:p>
    <w:p>
      <w:r>
        <w:rPr>
          <w:rFonts w:ascii="Microsoft JhengHei" w:hAnsi="Microsoft JhengHei"/>
          <w:b/>
          <w:color w:val="2E75B6"/>
          <w:sz w:val="26"/>
        </w:rPr>
        <w:t>3.1 AI與數位技術：重塑藥物研發</w:t>
      </w:r>
    </w:p>
    <w:p>
      <w:pPr>
        <w:spacing w:line="360" w:lineRule="auto"/>
      </w:pPr>
      <w:r>
        <w:t>AI製藥已從概念走向實質商業價值。根據2025年10月產業數據，利用AI平台（如Absci、Recursion）設計的藥物，其候選分子篩選時間縮短60%，研發成本降低35%，標誌着製藥業從「大海撈針」轉向「精準打靶」的里程碑式轉變。</w:t>
      </w:r>
    </w:p>
    <w:p>
      <w:pPr>
        <w:spacing w:line="360" w:lineRule="auto"/>
      </w:pPr>
      <w:r>
        <w:t>禮來（Eli Lilly）與輝達（Nvidia）已宣布注資10億美元建立聯合研究實驗室，結合資料總量與模型建構能力改變研發流程，目標將AI模型工業化，成為藥物研發流程中的核心工具。這代表着製藥業與科技業的深度融合已成為不可逆轉的趨勢。</w:t>
      </w:r>
    </w:p>
    <w:p>
      <w:pPr>
        <w:spacing w:line="360" w:lineRule="auto"/>
      </w:pPr>
      <w:r>
        <w:t>在台灣，2025年醫療科技展中AI影像分析輔助判讀已進入大規模臨床應用階段，多家人工智慧胰臟癌輔助偵測系統（如仲智數位健康之PANCREASaver）、肺癌篩檢AI輔助判讀系統（如睿傳數據之天秤肺影）均已獲得國家藥物科技研究發展獎金質獎肯定，顯示台灣AI醫療已具備國際級競爭力。</w:t>
      </w:r>
    </w:p>
    <w:p>
      <w:r>
        <w:rPr>
          <w:rFonts w:ascii="Microsoft JhengHei" w:hAnsi="Microsoft JhengHei"/>
          <w:b/>
          <w:color w:val="2E75B6"/>
          <w:sz w:val="26"/>
        </w:rPr>
        <w:t>3.2 基因與細胞療法：精準醫療的核心引擎</w:t>
      </w:r>
    </w:p>
    <w:p>
      <w:pPr>
        <w:spacing w:line="360" w:lineRule="auto"/>
      </w:pPr>
      <w:r>
        <w:t>基因和細胞療法是近年最受矚目的生技領域。CAR-T細胞療法在治療血液癌症方面已取得顯著成效；CRISPR-Cas9基因編輯技術為修正致病基因、根治遺傳性疾病提供了可能性。BioMarin以48億美元收購Amicus，布局基因療法和酶替代療法治療遺傳疾病（如法布瑞氏症、龐貝氏症），顯示龍頭企業正積極搶佔基因療法賽道。</w:t>
      </w:r>
    </w:p>
    <w:p>
      <w:pPr>
        <w:spacing w:line="360" w:lineRule="auto"/>
      </w:pPr>
      <w:r>
        <w:t>精準醫療（Personalized Medicine）正逐漸成為醫療保健的核心，基於每個患者獨特的基因、生活方式與環境因素量身定制治療方案。2025年癌症治療已廣泛採用基因組測序技術識別腫瘤特定基因突變，進而選擇最有效的標靶治療藥物，大幅提升治療效果與病患存活率。</w:t>
      </w:r>
    </w:p>
    <w:p>
      <w:r>
        <w:rPr>
          <w:rFonts w:ascii="Microsoft JhengHei" w:hAnsi="Microsoft JhengHei"/>
          <w:b/>
          <w:color w:val="2E75B6"/>
          <w:sz w:val="26"/>
        </w:rPr>
        <w:t>3.3 再生醫療與外泌體技術</w:t>
      </w:r>
    </w:p>
    <w:p>
      <w:pPr>
        <w:spacing w:line="360" w:lineRule="auto"/>
      </w:pPr>
      <w:r>
        <w:t>外泌體（Exosome）被視為開啟細胞自癒的關鍵密碼。外泌體為細胞間溝通的奈米囊泡，可應用於再生醫學、傷口癒合、抗衰老與美容領域。台灣生技業者已積極投入外泌體的研發與商業化應用，随着法規逐步完善，再生醫療將成為下一個增長藍海。</w:t>
      </w:r>
    </w:p>
    <w:p>
      <w:r>
        <w:rPr>
          <w:rFonts w:ascii="Microsoft JhengHei" w:hAnsi="Microsoft JhengHei"/>
          <w:b/>
          <w:color w:val="2E75B6"/>
          <w:sz w:val="26"/>
        </w:rPr>
        <w:t>3.4 數位健康：穿戴設備與遠距醫療</w:t>
      </w:r>
    </w:p>
    <w:p>
      <w:pPr>
        <w:spacing w:line="360" w:lineRule="auto"/>
      </w:pPr>
      <w:r>
        <w:t>在CES 2025，混合式醫療（Hybrid Healthcare）成為數位健康領域的焦點，強調AI輔助診斷、遠距醫療技術、穿戴式裝置以及數位治療等整合與創新應用。可穿戴設備已能有效減少護士在行政作業上約20%的時間，每位護理人員每年可望節省240至400小時的工作時間，顯示數位健康工具已進入實質落地階段。</w:t>
      </w:r>
    </w:p>
    <w:p>
      <w:r>
        <w:br w:type="page"/>
      </w:r>
    </w:p>
    <w:p>
      <w:r>
        <w:rPr>
          <w:rFonts w:ascii="Microsoft JhengHei" w:hAnsi="Microsoft JhengHei"/>
          <w:b/>
          <w:color w:val="1A5C9E"/>
          <w:sz w:val="32"/>
        </w:rPr>
        <w:t>四、保健食品市場分析</w:t>
      </w:r>
    </w:p>
    <w:p>
      <w:r>
        <w:rPr>
          <w:rFonts w:ascii="Microsoft JhengHei" w:hAnsi="Microsoft JhengHei"/>
          <w:b/>
          <w:color w:val="2E75B6"/>
          <w:sz w:val="26"/>
        </w:rPr>
        <w:t>4.1 全球與台灣保健食品市場規模</w:t>
      </w:r>
    </w:p>
    <w:p>
      <w:pPr>
        <w:spacing w:line="360" w:lineRule="auto"/>
      </w:pPr>
      <w:r>
        <w:t>根據Precedence Research研究，2025年全球保健食品市場規模約為2,034.2億美元，預計到2034年將達4,022億美元，年均複合成長率（CAGR）為7.87%，顯示市場持續穩定成長。HealthFocus International 2025年報告顯示，全球47%的消費者每週使用補充品，比2018年的34%大幅上升，主要受疫情後健康意識提升驅動。</w:t>
      </w:r>
    </w:p>
    <w:p>
      <w:pPr>
        <w:spacing w:line="360" w:lineRule="auto"/>
      </w:pPr>
      <w:r>
        <w:t>在台灣，根據Worldpanel研究，2025年保健品每人年均花費已突破9,000元。品牌數量從900多個擴張至逾1,500個，市場競爭加劇但需求同步成長。銷售高峰集中於每年5月及11月檔期，顯示國人健康消費已形成固定習性。</w:t>
      </w:r>
    </w:p>
    <w:p>
      <w:r>
        <w:rPr>
          <w:rFonts w:ascii="Microsoft JhengHei" w:hAnsi="Microsoft JhengHei"/>
          <w:b/>
          <w:color w:val="2E75B6"/>
          <w:sz w:val="26"/>
        </w:rPr>
        <w:t>4.2 2025年保健食品五大趨勢</w:t>
      </w:r>
    </w:p>
    <w:tbl>
      <w:tblPr>
        <w:tblStyle w:val="TableGrid"/>
        <w:tblW w:type="auto" w:w="0"/>
        <w:tblLook w:firstColumn="1" w:firstRow="1" w:lastColumn="0" w:lastRow="0" w:noHBand="0" w:noVBand="1" w:val="04A0"/>
      </w:tblPr>
      <w:tblGrid>
        <w:gridCol w:w="4703"/>
        <w:gridCol w:w="4703"/>
      </w:tblGrid>
      <w:tr>
        <w:tc>
          <w:tcPr>
            <w:tcW w:type="dxa" w:w="4703"/>
            <w:shd w:val="clear" w:color="auto" w:fill="2E75B6"/>
          </w:tcPr>
          <w:p>
            <w:pPr>
              <w:jc w:val="center"/>
            </w:pPr>
            <w:r>
              <w:rPr>
                <w:b/>
                <w:color w:val="FFFFFF"/>
                <w:sz w:val="22"/>
              </w:rPr>
              <w:t>趨勢</w:t>
            </w:r>
          </w:p>
        </w:tc>
        <w:tc>
          <w:tcPr>
            <w:tcW w:type="dxa" w:w="4703"/>
            <w:shd w:val="clear" w:color="auto" w:fill="2E75B6"/>
          </w:tcPr>
          <w:p>
            <w:pPr>
              <w:jc w:val="center"/>
            </w:pPr>
            <w:r>
              <w:rPr>
                <w:b/>
                <w:color w:val="FFFFFF"/>
                <w:sz w:val="22"/>
              </w:rPr>
              <w:t>核心內涵與市場機會</w:t>
            </w:r>
          </w:p>
        </w:tc>
      </w:tr>
      <w:tr>
        <w:tc>
          <w:tcPr>
            <w:tcW w:type="dxa" w:w="4703"/>
          </w:tcPr>
          <w:p>
            <w:r>
              <w:t>① 情緒與睡眠調理</w:t>
            </w:r>
          </w:p>
        </w:tc>
        <w:tc>
          <w:tcPr>
            <w:tcW w:type="dxa" w:w="4703"/>
          </w:tcPr>
          <w:p>
            <w:r>
              <w:t>WHO將壓力定義為「21世紀的全球健康流行病」。臺灣成年人失眠盛行率高達23.5%，每年安眠藥服用量逾3億顆。GABA、西番蓮萃取物、蘆筍萃取物等成分廣受青睞。</w:t>
            </w:r>
          </w:p>
        </w:tc>
      </w:tr>
      <w:tr>
        <w:tc>
          <w:tcPr>
            <w:tcW w:type="dxa" w:w="4703"/>
            <w:shd w:val="clear" w:color="auto" w:fill="E8F4FD"/>
          </w:tcPr>
          <w:p>
            <w:r>
              <w:t>② 腸道微生態優化</w:t>
            </w:r>
          </w:p>
        </w:tc>
        <w:tc>
          <w:tcPr>
            <w:tcW w:type="dxa" w:w="4703"/>
            <w:shd w:val="clear" w:color="auto" w:fill="E8F4FD"/>
          </w:tcPr>
          <w:p>
            <w:r>
              <w:t>70%免疫系統與腸道相關，益生菌、後生元、益生元等腸道保健產品持續熱銷。全球益生菌市場預計2030年將達1,080億美元，競爭已從菌數多寡轉向菌株功效差異化。</w:t>
            </w:r>
          </w:p>
        </w:tc>
      </w:tr>
      <w:tr>
        <w:tc>
          <w:tcPr>
            <w:tcW w:type="dxa" w:w="4703"/>
          </w:tcPr>
          <w:p>
            <w:r>
              <w:t>③ 代謝型體態管理</w:t>
            </w:r>
          </w:p>
        </w:tc>
        <w:tc>
          <w:tcPr>
            <w:tcW w:type="dxa" w:w="4703"/>
          </w:tcPr>
          <w:p>
            <w:r>
              <w:t>GLP-1減重熱潮帶動相關保健品需求，紅麴產品主打「不易形成體脂肪」及「有助於降低血中總膽固醇」，成為結合藥物與保健食品市場區隔的關鍵赛道。</w:t>
            </w:r>
          </w:p>
        </w:tc>
      </w:tr>
      <w:tr>
        <w:tc>
          <w:tcPr>
            <w:tcW w:type="dxa" w:w="4703"/>
            <w:shd w:val="clear" w:color="auto" w:fill="E8F4FD"/>
          </w:tcPr>
          <w:p>
            <w:r>
              <w:t>④ 銀髮心血管與認知</w:t>
            </w:r>
          </w:p>
        </w:tc>
        <w:tc>
          <w:tcPr>
            <w:tcW w:type="dxa" w:w="4703"/>
            <w:shd w:val="clear" w:color="auto" w:fill="E8F4FD"/>
          </w:tcPr>
          <w:p>
            <w:r>
              <w:t>銀髮族保健需求以心腦血管健康排名第一。魚油（Omega-3）、輔酵素Q10、納豆激酶、DHA等產品持續熱銷；認知功能（磷脂醯絲胺酸、DHA）亦為快速成長領域。</w:t>
            </w:r>
          </w:p>
        </w:tc>
      </w:tr>
      <w:tr>
        <w:tc>
          <w:tcPr>
            <w:tcW w:type="dxa" w:w="4703"/>
          </w:tcPr>
          <w:p>
            <w:r>
              <w:t>⑤ 免疫調節日常化</w:t>
            </w:r>
          </w:p>
        </w:tc>
        <w:tc>
          <w:tcPr>
            <w:tcW w:type="dxa" w:w="4703"/>
          </w:tcPr>
          <w:p>
            <w:r>
              <w:t>後疫情時代免疫類銷售從高峰回落，但從「應急型」轉向「日常調節型」，複方配方與族群分眾成為主流開發方向，益生菌、靈芝等原料均有成熟的健字號申請基礎。</w:t>
            </w:r>
          </w:p>
        </w:tc>
      </w:tr>
    </w:tbl>
    <w:p/>
    <w:p>
      <w:r>
        <w:rPr>
          <w:rFonts w:ascii="Microsoft JhengHei" w:hAnsi="Microsoft JhengHei"/>
          <w:b/>
          <w:color w:val="2E75B6"/>
          <w:sz w:val="26"/>
        </w:rPr>
        <w:t>4.3 個人化營養：精準保健新時代</w:t>
      </w:r>
    </w:p>
    <w:p>
      <w:pPr>
        <w:spacing w:line="360" w:lineRule="auto"/>
      </w:pPr>
      <w:r>
        <w:t>隨着檢測技術進步與大數據分析提升，個人化營養已邁入新紀元。消費者不再滿足於一體適用的營養補充品，而是追求根據個人需求量身訂製的保健方案。基於DNA分析、腸道菌相檢測、代謝特徵等生物標記的客製化配方服務，成為市場新寵。智慧型穿戴裝置與營養App的整合應用，讓消費者能即時追蹤營養攝取狀況並獲得個人化建議。</w:t>
      </w:r>
    </w:p>
    <w:p>
      <w:pPr>
        <w:spacing w:line="360" w:lineRule="auto"/>
      </w:pPr>
      <w:r>
        <w:t>AI技術已開始應用於根據消費者的飲食習慣、生活型態、健康目標等數據提供更精準的產品推薦。35%的美國人已使用AI來管理或了解自身健康，包括制定膳食計劃、研究健康問題以及學習補充劑方案，顯示AI驅動的個人化營養即將進入爆發期。</w:t>
      </w:r>
    </w:p>
    <w:p>
      <w:r>
        <w:br w:type="page"/>
      </w:r>
    </w:p>
    <w:p>
      <w:r>
        <w:rPr>
          <w:rFonts w:ascii="Microsoft JhengHei" w:hAnsi="Microsoft JhengHei"/>
          <w:b/>
          <w:color w:val="1A5C9E"/>
          <w:sz w:val="32"/>
        </w:rPr>
        <w:t>五、投資建議與風險提示</w:t>
      </w:r>
    </w:p>
    <w:p>
      <w:r>
        <w:rPr>
          <w:rFonts w:ascii="Microsoft JhengHei" w:hAnsi="Microsoft JhengHei"/>
          <w:b/>
          <w:color w:val="2E75B6"/>
          <w:sz w:val="26"/>
        </w:rPr>
        <w:t>5.1 主要投資機會</w:t>
      </w:r>
    </w:p>
    <w:p>
      <w:pPr>
        <w:spacing w:line="360" w:lineRule="auto"/>
        <w:ind w:left="170"/>
      </w:pPr>
      <w:r>
        <w:rPr>
          <w:b/>
        </w:rPr>
        <w:t>◆ 製藥與生技併購浪潮：</w:t>
      </w:r>
      <w:r>
        <w:t>未來5年超過2,500億美元重磅藥物面臨專利到期，大藥廠擁有數千億美元現金可用於併購，臨床三期並具明確市場護城河的中小型公司將成為焦點。投資人可關注具豐富管線且即將進入商業化階段的生技公司。</w:t>
      </w:r>
    </w:p>
    <w:p>
      <w:pPr>
        <w:spacing w:line="360" w:lineRule="auto"/>
        <w:ind w:left="170"/>
      </w:pPr>
      <w:r>
        <w:rPr>
          <w:b/>
        </w:rPr>
        <w:t>◆ AI製藥與數位醫療：</w:t>
      </w:r>
      <w:r>
        <w:t>AI製藥市場CAGR高達33.7%，禮來與輝達10億美元合作顯示科技與製藥的融合已成為長期趨勢。台灣AI醫療實力堅強，相關概念股值得持續關注。</w:t>
      </w:r>
    </w:p>
    <w:p>
      <w:pPr>
        <w:spacing w:line="360" w:lineRule="auto"/>
        <w:ind w:left="170"/>
      </w:pPr>
      <w:r>
        <w:rPr>
          <w:b/>
        </w:rPr>
        <w:t>◆ 銀髮經濟产业链：</w:t>
      </w:r>
      <w:r>
        <w:t>中國大陸銀髮經濟2035年預計突破30兆元，相關供應鏈覆蓋智慧健康設備（華為、小米）、養老機器人（機器人、優必選）、適老化產品與銀髮金融等，皆蘊含長期投資價值。</w:t>
      </w:r>
    </w:p>
    <w:p>
      <w:pPr>
        <w:spacing w:line="360" w:lineRule="auto"/>
        <w:ind w:left="170"/>
      </w:pPr>
      <w:r>
        <w:rPr>
          <w:b/>
        </w:rPr>
        <w:t>◆ 保健食品日常化：</w:t>
      </w:r>
      <w:r>
        <w:t>台灣保健食品人均年消費已逾9,000元且持續上升，品牌化、科学化與個人化將是下一階段競爭焦點。具备健字號功效認證的廠商將在监管日趨嚴格的环境中享有差異化優勢。</w:t>
      </w:r>
    </w:p>
    <w:p>
      <w:pPr>
        <w:spacing w:line="360" w:lineRule="auto"/>
        <w:ind w:left="170"/>
      </w:pPr>
      <w:r>
        <w:rPr>
          <w:b/>
        </w:rPr>
        <w:t>◆ 再生醫療與精準醫療：</w:t>
      </w:r>
      <w:r>
        <w:t>外泌體、基因療法、細胞療法等領域正從實驗室走向商業化階段，具备技術領先優勢與合规能力的企業將優先受惠。</w:t>
      </w:r>
    </w:p>
    <w:p/>
    <w:p>
      <w:r>
        <w:rPr>
          <w:rFonts w:ascii="Microsoft JhengHei" w:hAnsi="Microsoft JhengHei"/>
          <w:b/>
          <w:color w:val="C00000"/>
          <w:sz w:val="26"/>
        </w:rPr>
        <w:t>5.2 主要風險提示</w:t>
      </w:r>
    </w:p>
    <w:p>
      <w:pPr>
        <w:spacing w:line="360" w:lineRule="auto"/>
        <w:ind w:left="170"/>
      </w:pPr>
      <w:r>
        <w:rPr>
          <w:b/>
        </w:rPr>
        <w:t>⚠ 政策與法規風險：</w:t>
      </w:r>
      <w:r>
        <w:t>美國IRA藥價管制、BIOSECURITY法案供應鏈限制、各國健保財務壓力等政策變化，可能對製藥公司營收與獲利造成衝擊。中國大陸銀髮政策落地節奏亦存在不確定性。</w:t>
      </w:r>
    </w:p>
    <w:p>
      <w:pPr>
        <w:spacing w:line="360" w:lineRule="auto"/>
        <w:ind w:left="170"/>
      </w:pPr>
      <w:r>
        <w:rPr>
          <w:b/>
        </w:rPr>
        <w:t>⚠ 臨床失敗與研發風險：</w:t>
      </w:r>
      <w:r>
        <w:t>新藥研發失敗率高達90%，即便進入臨床階段亦存在顯著不確定性。中小型生技公司若缺乏差異化技術，可能面臨資金耗盡與被迫低價出售的風險。</w:t>
      </w:r>
    </w:p>
    <w:p>
      <w:pPr>
        <w:spacing w:line="360" w:lineRule="auto"/>
        <w:ind w:left="170"/>
      </w:pPr>
      <w:r>
        <w:rPr>
          <w:b/>
        </w:rPr>
        <w:t>⚠ 市場競爭加劇：</w:t>
      </w:r>
      <w:r>
        <w:t>保健食品品牌數量快速擴張（台灣已逾1,500個），同質化競爭嚴重，價格戰可能壓縮中小品牌毛利空間。</w:t>
      </w:r>
    </w:p>
    <w:p>
      <w:pPr>
        <w:spacing w:line="360" w:lineRule="auto"/>
        <w:ind w:left="170"/>
      </w:pPr>
      <w:r>
        <w:rPr>
          <w:b/>
        </w:rPr>
        <w:t>⚠ 地緣政治與供應鏈風險：</w:t>
      </w:r>
      <w:r>
        <w:t>美中貿易摩擦、生物安全法案與供應鏈去中國化壓力，可能造成原料藥與CDMO訂單波動，影響相關廠商營收稳定性。</w:t>
      </w:r>
    </w:p>
    <w:p>
      <w:pPr>
        <w:spacing w:line="360" w:lineRule="auto"/>
        <w:ind w:left="170"/>
      </w:pPr>
      <w:r>
        <w:rPr>
          <w:b/>
        </w:rPr>
        <w:t>⚠ 估值與資金退潮風險：</w:t>
      </w:r>
      <w:r>
        <w:t>生技醫療類股（NBI指數）2025年上半年持續疲軟，显示資金持續流向高報酬的科技領域。若聯準會降息步調放緩或市場風險偏好进一步收縮，小型生技公司可能面臨融資困難。</w:t>
      </w:r>
    </w:p>
    <w:p/>
    <w:p>
      <w:r>
        <w:rPr>
          <w:rFonts w:ascii="Microsoft JhengHei" w:hAnsi="Microsoft JhengHei"/>
          <w:b/>
          <w:color w:val="2E75B6"/>
          <w:sz w:val="26"/>
        </w:rPr>
        <w:t>5.3 投資總結與建議</w:t>
      </w:r>
    </w:p>
    <w:p>
      <w:pPr>
        <w:spacing w:line="360" w:lineRule="auto"/>
      </w:pPr>
      <w:r>
        <w:t>健康醫療產業正站在AI製藥突破、人口老齡化與精準醫療普及三重利多的交匯點。長期結構性需求明確，但短期內政策波動、臨床失敗風險與資金輪動效應仍需持續關注。投資人宜採取「核心+衛星」策略：核心持有具規模優勢與穩定現金流的大型製藥或醫療服務龍頭，衛星配置具備差異化技術的中小型生技與AI醫療概念股，並密切追蹤臨床試驗進度與監管政策變化。</w:t>
      </w:r>
    </w:p>
    <w:p/>
    <w:p>
      <w:pPr>
        <w:jc w:val="center"/>
      </w:pPr>
      <w:r>
        <w:rPr>
          <w:color w:val="4A90D9"/>
          <w:sz w:val="16"/>
        </w:rPr>
        <w:t>────────────────────────────────────────────────────────────</w:t>
      </w:r>
    </w:p>
    <w:p>
      <w:pPr>
        <w:jc w:val="center"/>
      </w:pPr>
      <w:r>
        <w:rPr>
          <w:color w:val="888888"/>
          <w:sz w:val="20"/>
        </w:rPr>
        <w:t>📌 本報告僅供參考，不構成投資建議。投資前請自行評估風險。</w:t>
      </w:r>
    </w:p>
    <w:p>
      <w:pPr>
        <w:jc w:val="center"/>
      </w:pPr>
      <w:r>
        <w:rPr>
          <w:color w:val="888888"/>
          <w:sz w:val="20"/>
        </w:rPr>
        <w:t>研究日期：2026年5月4日 | 小安深度研究團隊</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