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0"/>
        <w:jc w:val="center"/>
      </w:pPr>
      <w:r>
        <w:rPr>
          <w:rFonts w:ascii="微軟正黑體" w:hAnsi="微軟正黑體"/>
          <w:b/>
          <w:color w:val="003366"/>
          <w:sz w:val="48"/>
        </w:rPr>
        <w:t>📈 股票投資風險管理與獲利策略 📉</w:t>
      </w:r>
    </w:p>
    <w:p>
      <w:pPr>
        <w:spacing w:before="400"/>
        <w:jc w:val="center"/>
      </w:pPr>
      <w:r>
        <w:rPr>
          <w:rFonts w:ascii="微軟正黑體" w:hAnsi="微軟正黑體"/>
          <w:b w:val="0"/>
          <w:color w:val="505050"/>
          <w:sz w:val="32"/>
        </w:rPr>
        <w:t>深度研究報告</w:t>
      </w:r>
    </w:p>
    <w:p>
      <w:pPr>
        <w:spacing w:before="800"/>
        <w:jc w:val="center"/>
      </w:pPr>
      <w:r>
        <w:rPr>
          <w:rFonts w:ascii="微軟正黑體" w:hAnsi="微軟正黑體"/>
          <w:b w:val="0"/>
          <w:color w:val="646464"/>
          <w:sz w:val="28"/>
        </w:rPr>
        <w:t>2026年04月28日</w:t>
      </w:r>
    </w:p>
    <w:p>
      <w:pPr>
        <w:spacing w:before="400"/>
        <w:jc w:val="center"/>
      </w:pPr>
      <w:r>
        <w:rPr>
          <w:rFonts w:ascii="微軟正黑體" w:hAnsi="微軟正黑體"/>
          <w:b w:val="0"/>
          <w:color w:val="646464"/>
          <w:sz w:val="24"/>
        </w:rPr>
        <w:t>研究團隊：小歐｜千問｜拉瑪｜撈仔｜小咪｜小安</w:t>
      </w:r>
    </w:p>
    <w:p>
      <w:r>
        <w:br w:type="page"/>
      </w:r>
    </w:p>
    <w:p>
      <w:pPr>
        <w:pStyle w:val="Heading1"/>
        <w:jc w:val="left"/>
      </w:pPr>
      <w:r>
        <w:rPr>
          <w:rFonts w:ascii="微軟正黑體" w:hAnsi="微軟正黑體"/>
          <w:b/>
          <w:color w:val="003366"/>
          <w:sz w:val="36"/>
        </w:rPr>
        <w:t>📋 研究大綱</w:t>
      </w:r>
    </w:p>
    <w:p>
      <w:pPr>
        <w:pStyle w:val="ListBullet"/>
        <w:ind w:left="283"/>
        <w:jc w:val="both"/>
      </w:pPr>
      <w:r>
        <w:rPr>
          <w:rFonts w:ascii="微軟正黑體" w:hAnsi="微軟正黑體"/>
          <w:b w:val="0"/>
          <w:sz w:val="26"/>
        </w:rPr>
        <w:t>一、研究背景與目的</w:t>
      </w:r>
    </w:p>
    <w:p>
      <w:pPr>
        <w:pStyle w:val="ListBullet"/>
        <w:ind w:left="283"/>
        <w:jc w:val="both"/>
      </w:pPr>
      <w:r>
        <w:rPr>
          <w:rFonts w:ascii="微軟正黑體" w:hAnsi="微軟正黑體"/>
          <w:b w:val="0"/>
          <w:sz w:val="26"/>
        </w:rPr>
        <w:t>二、風險管理的核心原則</w:t>
      </w:r>
    </w:p>
    <w:p>
      <w:pPr>
        <w:pStyle w:val="ListBullet"/>
        <w:ind w:left="283"/>
        <w:jc w:val="both"/>
      </w:pPr>
      <w:r>
        <w:rPr>
          <w:rFonts w:ascii="微軟正黑體" w:hAnsi="微軟正黑體"/>
          <w:b w:val="0"/>
          <w:sz w:val="26"/>
        </w:rPr>
        <w:t>三、股票投資風險的類型</w:t>
      </w:r>
    </w:p>
    <w:p>
      <w:pPr>
        <w:pStyle w:val="ListBullet"/>
        <w:ind w:left="283"/>
        <w:jc w:val="both"/>
      </w:pPr>
      <w:r>
        <w:rPr>
          <w:rFonts w:ascii="微軟正黑體" w:hAnsi="微軟正黑體"/>
          <w:b w:val="0"/>
          <w:sz w:val="26"/>
        </w:rPr>
        <w:t>四、常見獲利策略分析</w:t>
      </w:r>
    </w:p>
    <w:p>
      <w:pPr>
        <w:pStyle w:val="ListBullet"/>
        <w:ind w:left="283"/>
        <w:jc w:val="both"/>
      </w:pPr>
      <w:r>
        <w:rPr>
          <w:rFonts w:ascii="微軟正黑體" w:hAnsi="微軟正黑體"/>
          <w:b w:val="0"/>
          <w:sz w:val="26"/>
        </w:rPr>
        <w:t>五、風險與報酬的平衡</w:t>
      </w:r>
    </w:p>
    <w:p>
      <w:pPr>
        <w:pStyle w:val="ListBullet"/>
        <w:ind w:left="283"/>
        <w:jc w:val="both"/>
      </w:pPr>
      <w:r>
        <w:rPr>
          <w:rFonts w:ascii="微軟正黑體" w:hAnsi="微軟正黑體"/>
          <w:b w:val="0"/>
          <w:sz w:val="26"/>
        </w:rPr>
        <w:t>六、散戶實務操作建議</w:t>
      </w:r>
    </w:p>
    <w:p>
      <w:pPr>
        <w:pStyle w:val="ListBullet"/>
        <w:ind w:left="283"/>
        <w:jc w:val="both"/>
      </w:pPr>
      <w:r>
        <w:rPr>
          <w:rFonts w:ascii="微軟正黑體" w:hAnsi="微軟正黑體"/>
          <w:b w:val="0"/>
          <w:sz w:val="26"/>
        </w:rPr>
        <w:t>七、心理風險管理</w:t>
      </w:r>
    </w:p>
    <w:p>
      <w:pPr>
        <w:pStyle w:val="ListBullet"/>
        <w:ind w:left="283"/>
        <w:jc w:val="both"/>
      </w:pPr>
      <w:r>
        <w:rPr>
          <w:rFonts w:ascii="微軟正黑體" w:hAnsi="微軟正黑體"/>
          <w:b w:val="0"/>
          <w:sz w:val="26"/>
        </w:rPr>
        <w:t>八、綜合結論與建議</w:t>
      </w:r>
    </w:p>
    <w:p>
      <w:r>
        <w:br w:type="page"/>
      </w:r>
    </w:p>
    <w:p>
      <w:pPr>
        <w:pStyle w:val="Heading1"/>
        <w:jc w:val="left"/>
      </w:pPr>
      <w:r>
        <w:rPr>
          <w:rFonts w:ascii="微軟正黑體" w:hAnsi="微軟正黑體"/>
          <w:b/>
          <w:color w:val="003366"/>
          <w:sz w:val="32"/>
        </w:rPr>
        <w:t>一、研究背景與目的</w:t>
      </w:r>
    </w:p>
    <w:p>
      <w:pPr>
        <w:jc w:val="center"/>
      </w:pPr>
      <w:r>
        <w:rPr>
          <w:color w:val="B4B4B4"/>
          <w:sz w:val="20"/>
        </w:rPr>
        <w:t>──────────────────────────────────────────────────</w:t>
      </w:r>
    </w:p>
    <w:p>
      <w:pPr>
        <w:jc w:val="both"/>
      </w:pPr>
      <w:r>
        <w:rPr>
          <w:rFonts w:ascii="微軟正黑體" w:hAnsi="微軟正黑體"/>
          <w:b w:val="0"/>
          <w:sz w:val="24"/>
        </w:rPr>
        <w:t>股票投資是現代社會中最常見的資產配置方式之一，但同時也伴隨著顯著的風險。根據行為金融學研究，許多散戶投資人因為缺乏系統性的風險管理觀念，往往在市場波動中遭受不必要的損失。本報告旨在深入探討股票投資中的風險管理原則與獲利策略，幫助投資人建立穩健的投資紀律。</w:t>
      </w:r>
    </w:p>
    <w:p>
      <w:pPr>
        <w:jc w:val="both"/>
      </w:pPr>
      <w:r>
        <w:rPr>
          <w:rFonts w:ascii="微軟正黑體" w:hAnsi="微軟正黑體"/>
          <w:b w:val="0"/>
          <w:sz w:val="24"/>
        </w:rPr>
        <w:t>本研究由五位助理（小歐/千問/拉瑪/撈仔/小咪）同步進行文獻研究與市場分析，整合國內外最新投資理論與實務經驗，最終由小安彙整形成結論報告。</w:t>
      </w:r>
    </w:p>
    <w:p/>
    <w:p>
      <w:pPr>
        <w:pStyle w:val="Heading1"/>
        <w:jc w:val="left"/>
      </w:pPr>
      <w:r>
        <w:rPr>
          <w:rFonts w:ascii="微軟正黑體" w:hAnsi="微軟正黑體"/>
          <w:b/>
          <w:color w:val="003366"/>
          <w:sz w:val="32"/>
        </w:rPr>
        <w:t>二、風險管理的核心原則</w:t>
      </w:r>
    </w:p>
    <w:p>
      <w:pPr>
        <w:jc w:val="center"/>
      </w:pPr>
      <w:r>
        <w:rPr>
          <w:color w:val="B4B4B4"/>
          <w:sz w:val="2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  <w:jc w:val="left"/>
      </w:pPr>
      <w:r>
        <w:rPr>
          <w:rFonts w:ascii="微軟正黑體" w:hAnsi="微軟正黑體"/>
          <w:b/>
          <w:color w:val="003366"/>
          <w:sz w:val="28"/>
        </w:rPr>
        <w:t>2.1 風險管理四大要件</w:t>
      </w:r>
    </w:p>
    <w:p>
      <w:pPr>
        <w:jc w:val="both"/>
      </w:pPr>
      <w:r>
        <w:rPr>
          <w:rFonts w:ascii="微軟正黑體" w:hAnsi="微軟正黑體"/>
          <w:b w:val="0"/>
          <w:sz w:val="24"/>
        </w:rPr>
        <w:t>根據專業投資研究，風險管理應從以下四個要件著手：</w:t>
      </w:r>
    </w:p>
    <w:p>
      <w:pPr>
        <w:pStyle w:val="ListBullet"/>
        <w:ind w:left="283"/>
        <w:jc w:val="both"/>
      </w:pPr>
      <w:r>
        <w:rPr>
          <w:rFonts w:ascii="微軟正黑體" w:hAnsi="微軟正黑體"/>
          <w:b w:val="0"/>
          <w:sz w:val="24"/>
        </w:rPr>
        <w:t>【要件一】控管持股比率：根據市場趨勢動態調整整體持股比重，採取「金字塔型」操作，低檔時加重持股，高檔時獲利了結。單一持股建議不超過總部位的20%~30%。</w:t>
      </w:r>
    </w:p>
    <w:p>
      <w:pPr>
        <w:pStyle w:val="ListBullet"/>
        <w:ind w:left="283"/>
        <w:jc w:val="both"/>
      </w:pPr>
      <w:r>
        <w:rPr>
          <w:rFonts w:ascii="微軟正黑體" w:hAnsi="微軟正黑體"/>
          <w:b w:val="0"/>
          <w:sz w:val="24"/>
        </w:rPr>
        <w:t>【要件二】限定融資金額：當報酬率達到15%~20%時應實現獲利，同時嚴格控制融資比率，避免過度槓桿操作。持股市值上限不應過度擴增。</w:t>
      </w:r>
    </w:p>
    <w:p>
      <w:pPr>
        <w:pStyle w:val="ListBullet"/>
        <w:ind w:left="283"/>
        <w:jc w:val="both"/>
      </w:pPr>
      <w:r>
        <w:rPr>
          <w:rFonts w:ascii="微軟正黑體" w:hAnsi="微軟正黑體"/>
          <w:b w:val="0"/>
          <w:sz w:val="24"/>
        </w:rPr>
        <w:t>【要件三】嚴格執行停損：設定個人能容忍的虧損上限（一般建議20%為警戒線），果斷執行停損，避免虧損持續擴大。</w:t>
      </w:r>
    </w:p>
    <w:p>
      <w:pPr>
        <w:pStyle w:val="ListBullet"/>
        <w:ind w:left="283"/>
        <w:jc w:val="both"/>
      </w:pPr>
      <w:r>
        <w:rPr>
          <w:rFonts w:ascii="微軟正黑體" w:hAnsi="微軟正黑體"/>
          <w:b w:val="0"/>
          <w:sz w:val="24"/>
        </w:rPr>
        <w:t>【要件四】適時停利：當獲利回吐達到30%時應果斷停利，避免「來去一場空」。停利比停損更難，因為挑戰的是人性貪婪。</w:t>
      </w:r>
    </w:p>
    <w:p/>
    <w:p>
      <w:pPr>
        <w:pStyle w:val="Heading2"/>
        <w:jc w:val="left"/>
      </w:pPr>
      <w:r>
        <w:rPr>
          <w:rFonts w:ascii="微軟正黑體" w:hAnsi="微軟正黑體"/>
          <w:b/>
          <w:color w:val="003366"/>
          <w:sz w:val="28"/>
        </w:rPr>
        <w:t>2.2 分散投資原則</w:t>
      </w:r>
    </w:p>
    <w:p>
      <w:pPr>
        <w:jc w:val="both"/>
      </w:pPr>
      <w:r>
        <w:rPr>
          <w:rFonts w:ascii="微軟正黑體" w:hAnsi="微軟正黑體"/>
          <w:b w:val="0"/>
          <w:sz w:val="24"/>
        </w:rPr>
        <w:t>「不要把所有的雞蛋放在同一個籃子裡」是投資最基本的原則。分散投資的重點包括：</w:t>
      </w:r>
    </w:p>
    <w:p>
      <w:pPr>
        <w:pStyle w:val="ListBullet"/>
        <w:ind w:left="283"/>
        <w:jc w:val="both"/>
      </w:pPr>
      <w:r>
        <w:rPr>
          <w:rFonts w:ascii="微軟正黑體" w:hAnsi="微軟正黑體"/>
          <w:b w:val="0"/>
          <w:sz w:val="24"/>
        </w:rPr>
        <w:t>跨資產類別：股票、債券、現金、黃金等多元化配置</w:t>
      </w:r>
    </w:p>
    <w:p>
      <w:pPr>
        <w:pStyle w:val="ListBullet"/>
        <w:ind w:left="283"/>
        <w:jc w:val="both"/>
      </w:pPr>
      <w:r>
        <w:rPr>
          <w:rFonts w:ascii="微軟正黑體" w:hAnsi="微軟正黑體"/>
          <w:b w:val="0"/>
          <w:sz w:val="24"/>
        </w:rPr>
        <w:t>跨產業配置：避免過度集中於單一產業，降低產業系統性風險</w:t>
      </w:r>
    </w:p>
    <w:p>
      <w:pPr>
        <w:pStyle w:val="ListBullet"/>
        <w:ind w:left="283"/>
        <w:jc w:val="both"/>
      </w:pPr>
      <w:r>
        <w:rPr>
          <w:rFonts w:ascii="微軟正黑體" w:hAnsi="微軟正黑體"/>
          <w:b w:val="0"/>
          <w:sz w:val="24"/>
        </w:rPr>
        <w:t>跨地區配置：適當配置不同市場，降低單一市場風險</w:t>
      </w:r>
    </w:p>
    <w:p>
      <w:pPr>
        <w:pStyle w:val="ListBullet"/>
        <w:ind w:left="283"/>
        <w:jc w:val="both"/>
      </w:pPr>
      <w:r>
        <w:rPr>
          <w:rFonts w:ascii="微軟正黑體" w:hAnsi="微軟正黑體"/>
          <w:b w:val="0"/>
          <w:sz w:val="24"/>
        </w:rPr>
        <w:t>持有10~20檔低相關性股票，可顯著降低投資組合風險</w:t>
      </w:r>
    </w:p>
    <w:p>
      <w:pPr>
        <w:jc w:val="both"/>
      </w:pPr>
      <w:r>
        <w:rPr>
          <w:rFonts w:ascii="微軟正黑體" w:hAnsi="微軟正黑體"/>
          <w:b w:val="0"/>
          <w:sz w:val="24"/>
        </w:rPr>
        <w:t>根據橋水基金創辦人達里奧(Ray Dalio)的研究，持有15~20種零相關性資產，可以將風險報酬率提升至1.25，大幅降低輸錢機率。</w:t>
      </w:r>
    </w:p>
    <w:p/>
    <w:p>
      <w:pPr>
        <w:pStyle w:val="Heading1"/>
        <w:jc w:val="left"/>
      </w:pPr>
      <w:r>
        <w:rPr>
          <w:rFonts w:ascii="微軟正黑體" w:hAnsi="微軟正黑體"/>
          <w:b/>
          <w:color w:val="003366"/>
          <w:sz w:val="32"/>
        </w:rPr>
        <w:t>三、股票投資風險的類型</w:t>
      </w:r>
    </w:p>
    <w:p>
      <w:pPr>
        <w:jc w:val="center"/>
      </w:pPr>
      <w:r>
        <w:rPr>
          <w:color w:val="B4B4B4"/>
          <w:sz w:val="2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  <w:jc w:val="left"/>
      </w:pPr>
      <w:r>
        <w:rPr>
          <w:rFonts w:ascii="微軟正黑體" w:hAnsi="微軟正黑體"/>
          <w:b/>
          <w:color w:val="003366"/>
          <w:sz w:val="28"/>
        </w:rPr>
        <w:t>3.1 系統性風險（不可分散風險）</w:t>
      </w:r>
    </w:p>
    <w:p>
      <w:pPr>
        <w:pStyle w:val="ListBullet"/>
        <w:ind w:left="283"/>
        <w:jc w:val="both"/>
      </w:pPr>
      <w:r>
        <w:rPr>
          <w:rFonts w:ascii="微軟正黑體" w:hAnsi="微軟正黑體"/>
          <w:b w:val="0"/>
          <w:sz w:val="24"/>
        </w:rPr>
        <w:t>【市場風險】整體股票市場下跌的風險，影響所有股票，包括藍籌股</w:t>
      </w:r>
    </w:p>
    <w:p>
      <w:pPr>
        <w:pStyle w:val="ListBullet"/>
        <w:ind w:left="283"/>
        <w:jc w:val="both"/>
      </w:pPr>
      <w:r>
        <w:rPr>
          <w:rFonts w:ascii="微軟正黑體" w:hAnsi="微軟正黑體"/>
          <w:b w:val="0"/>
          <w:sz w:val="24"/>
        </w:rPr>
        <w:t>【利率風險】市場利率變動對股票價值的影響，利率上升通常對股市不利</w:t>
      </w:r>
    </w:p>
    <w:p>
      <w:pPr>
        <w:pStyle w:val="ListBullet"/>
        <w:ind w:left="283"/>
        <w:jc w:val="both"/>
      </w:pPr>
      <w:r>
        <w:rPr>
          <w:rFonts w:ascii="微軟正黑體" w:hAnsi="微軟正黑體"/>
          <w:b w:val="0"/>
          <w:sz w:val="24"/>
        </w:rPr>
        <w:t>【通貨膨脹風險】物價上漲導致貨幣購買力下降，實質報酬被侵蝕</w:t>
      </w:r>
    </w:p>
    <w:p>
      <w:pPr>
        <w:pStyle w:val="ListBullet"/>
        <w:ind w:left="283"/>
        <w:jc w:val="both"/>
      </w:pPr>
      <w:r>
        <w:rPr>
          <w:rFonts w:ascii="微軟正黑體" w:hAnsi="微軟正黑體"/>
          <w:b w:val="0"/>
          <w:sz w:val="24"/>
        </w:rPr>
        <w:t>【政治/地緣政治風險】政府政策、戰爭、國際衝突對市場的衝擊</w:t>
      </w:r>
    </w:p>
    <w:p/>
    <w:p>
      <w:pPr>
        <w:pStyle w:val="Heading2"/>
        <w:jc w:val="left"/>
      </w:pPr>
      <w:r>
        <w:rPr>
          <w:rFonts w:ascii="微軟正黑體" w:hAnsi="微軟正黑體"/>
          <w:b/>
          <w:color w:val="003366"/>
          <w:sz w:val="28"/>
        </w:rPr>
        <w:t>3.2 非系統性風險（可分散風險）</w:t>
      </w:r>
    </w:p>
    <w:p>
      <w:pPr>
        <w:pStyle w:val="ListBullet"/>
        <w:ind w:left="283"/>
        <w:jc w:val="both"/>
      </w:pPr>
      <w:r>
        <w:rPr>
          <w:rFonts w:ascii="微軟正黑體" w:hAnsi="微軟正黑體"/>
          <w:b w:val="0"/>
          <w:sz w:val="24"/>
        </w:rPr>
        <w:t>【企業風險】個別公司經營不善、財務造假、管理問題等</w:t>
      </w:r>
    </w:p>
    <w:p>
      <w:pPr>
        <w:pStyle w:val="ListBullet"/>
        <w:ind w:left="283"/>
        <w:jc w:val="both"/>
      </w:pPr>
      <w:r>
        <w:rPr>
          <w:rFonts w:ascii="微軟正黑體" w:hAnsi="微軟正黑體"/>
          <w:b w:val="0"/>
          <w:sz w:val="24"/>
        </w:rPr>
        <w:t>【信用風險】公司無法按時償還債務，可能導致違約或破產</w:t>
      </w:r>
    </w:p>
    <w:p>
      <w:pPr>
        <w:pStyle w:val="ListBullet"/>
        <w:ind w:left="283"/>
        <w:jc w:val="both"/>
      </w:pPr>
      <w:r>
        <w:rPr>
          <w:rFonts w:ascii="微軟正黑體" w:hAnsi="微軟正黑體"/>
          <w:b w:val="0"/>
          <w:sz w:val="24"/>
        </w:rPr>
        <w:t>【流動性風險】股票难以在理想價位變現的風險，特別是小市值股票</w:t>
      </w:r>
    </w:p>
    <w:p>
      <w:pPr>
        <w:pStyle w:val="ListBullet"/>
        <w:ind w:left="283"/>
        <w:jc w:val="both"/>
      </w:pPr>
      <w:r>
        <w:rPr>
          <w:rFonts w:ascii="微軟正黑體" w:hAnsi="微軟正黑體"/>
          <w:b w:val="0"/>
          <w:sz w:val="24"/>
        </w:rPr>
        <w:t>【集中風險】過度集中於單一股票或產業的風險</w:t>
      </w:r>
    </w:p>
    <w:p/>
    <w:p>
      <w:pPr>
        <w:pStyle w:val="Heading2"/>
        <w:jc w:val="left"/>
      </w:pPr>
      <w:r>
        <w:rPr>
          <w:rFonts w:ascii="微軟正黑體" w:hAnsi="微軟正黑體"/>
          <w:b/>
          <w:color w:val="003366"/>
          <w:sz w:val="28"/>
        </w:rPr>
        <w:t>3.3 其他重要風險</w:t>
      </w:r>
    </w:p>
    <w:p>
      <w:pPr>
        <w:pStyle w:val="ListBullet"/>
        <w:ind w:left="283"/>
        <w:jc w:val="both"/>
      </w:pPr>
      <w:r>
        <w:rPr>
          <w:rFonts w:ascii="微軟正黑體" w:hAnsi="微軟正黑體"/>
          <w:b w:val="0"/>
          <w:sz w:val="24"/>
        </w:rPr>
        <w:t>【報酬順序風險】投資組合早期若遭遇負報酬，對長期財富影響甚鉅</w:t>
      </w:r>
    </w:p>
    <w:p>
      <w:pPr>
        <w:pStyle w:val="ListBullet"/>
        <w:ind w:left="283"/>
        <w:jc w:val="both"/>
      </w:pPr>
      <w:r>
        <w:rPr>
          <w:rFonts w:ascii="微軟正黑體" w:hAnsi="微軟正黑體"/>
          <w:b w:val="0"/>
          <w:sz w:val="24"/>
        </w:rPr>
        <w:t>【期限風險】因突發事件被迫提前變現長期投資，可能遭受損失</w:t>
      </w:r>
    </w:p>
    <w:p>
      <w:pPr>
        <w:pStyle w:val="ListBullet"/>
        <w:ind w:left="283"/>
        <w:jc w:val="both"/>
      </w:pPr>
      <w:r>
        <w:rPr>
          <w:rFonts w:ascii="微軟正黑體" w:hAnsi="微軟正黑體"/>
          <w:b w:val="0"/>
          <w:sz w:val="24"/>
        </w:rPr>
        <w:t>【從眾行為風險】盲目跟隨市場熱點或消息面，容易高買低賣</w:t>
      </w:r>
    </w:p>
    <w:p/>
    <w:p>
      <w:pPr>
        <w:pStyle w:val="Heading1"/>
        <w:jc w:val="left"/>
      </w:pPr>
      <w:r>
        <w:rPr>
          <w:rFonts w:ascii="微軟正黑體" w:hAnsi="微軟正黑體"/>
          <w:b/>
          <w:color w:val="003366"/>
          <w:sz w:val="32"/>
        </w:rPr>
        <w:t>四、常見獲利策略分析</w:t>
      </w:r>
    </w:p>
    <w:p>
      <w:pPr>
        <w:jc w:val="center"/>
      </w:pPr>
      <w:r>
        <w:rPr>
          <w:color w:val="B4B4B4"/>
          <w:sz w:val="2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  <w:jc w:val="left"/>
      </w:pPr>
      <w:r>
        <w:rPr>
          <w:rFonts w:ascii="微軟正黑體" w:hAnsi="微軟正黑體"/>
          <w:b/>
          <w:color w:val="003366"/>
          <w:sz w:val="28"/>
        </w:rPr>
        <w:t>4.1 基本面分析策略</w:t>
      </w:r>
    </w:p>
    <w:p>
      <w:pPr>
        <w:jc w:val="both"/>
      </w:pPr>
      <w:r>
        <w:rPr>
          <w:rFonts w:ascii="微軟正黑體" w:hAnsi="微軟正黑體"/>
          <w:b w:val="0"/>
          <w:sz w:val="24"/>
        </w:rPr>
        <w:t>基本面分析著眼於企業的內在價值，適合中長期投資。主要方法包括：</w:t>
      </w:r>
    </w:p>
    <w:p>
      <w:pPr>
        <w:pStyle w:val="ListBullet"/>
        <w:ind w:left="283"/>
        <w:jc w:val="both"/>
      </w:pPr>
      <w:r>
        <w:rPr>
          <w:rFonts w:ascii="微軟正黑體" w:hAnsi="微軟正黑體"/>
          <w:b w:val="0"/>
          <w:sz w:val="24"/>
        </w:rPr>
        <w:t>【價值投資】選擇被市場低估的股票，等待價值回歸。代表人物：巴菲特</w:t>
      </w:r>
    </w:p>
    <w:p>
      <w:pPr>
        <w:pStyle w:val="ListBullet"/>
        <w:ind w:left="283"/>
        <w:jc w:val="both"/>
      </w:pPr>
      <w:r>
        <w:rPr>
          <w:rFonts w:ascii="微軟正黑體" w:hAnsi="微軟正黑體"/>
          <w:b w:val="0"/>
          <w:sz w:val="24"/>
        </w:rPr>
        <w:t>【成長投資】選擇具有高成長潛力的公司，著眼未來營收與獲利增長</w:t>
      </w:r>
    </w:p>
    <w:p>
      <w:pPr>
        <w:pStyle w:val="ListBullet"/>
        <w:ind w:left="283"/>
        <w:jc w:val="both"/>
      </w:pPr>
      <w:r>
        <w:rPr>
          <w:rFonts w:ascii="微軟正黑體" w:hAnsi="微軟正黑體"/>
          <w:b w:val="0"/>
          <w:sz w:val="24"/>
        </w:rPr>
        <w:t>【財務指標】關注EPS、ROE、本益比、本淨比、負債比等關鍵數據</w:t>
      </w:r>
    </w:p>
    <w:p>
      <w:pPr>
        <w:pStyle w:val="ListBullet"/>
        <w:ind w:left="283"/>
        <w:jc w:val="both"/>
      </w:pPr>
      <w:r>
        <w:rPr>
          <w:rFonts w:ascii="微軟正黑體" w:hAnsi="微軟正黑體"/>
          <w:b w:val="0"/>
          <w:sz w:val="24"/>
        </w:rPr>
        <w:t>【由下而上法】從個別公司研究出發，深入了解企業經營體質</w:t>
      </w:r>
    </w:p>
    <w:p/>
    <w:p>
      <w:pPr>
        <w:pStyle w:val="Heading2"/>
        <w:jc w:val="left"/>
      </w:pPr>
      <w:r>
        <w:rPr>
          <w:rFonts w:ascii="微軟正黑體" w:hAnsi="微軟正黑體"/>
          <w:b/>
          <w:color w:val="003366"/>
          <w:sz w:val="28"/>
        </w:rPr>
        <w:t>4.2 技術分析策略</w:t>
      </w:r>
    </w:p>
    <w:p>
      <w:pPr>
        <w:jc w:val="both"/>
      </w:pPr>
      <w:r>
        <w:rPr>
          <w:rFonts w:ascii="微軟正黑體" w:hAnsi="微軟正黑體"/>
          <w:b w:val="0"/>
          <w:sz w:val="24"/>
        </w:rPr>
        <w:t>技術分析透過觀察價格、成交量與市場趨勢來預測未來走勢，適合短線與波段操作。</w:t>
      </w:r>
    </w:p>
    <w:p>
      <w:pPr>
        <w:pStyle w:val="ListBullet"/>
        <w:ind w:left="283"/>
        <w:jc w:val="both"/>
      </w:pPr>
      <w:r>
        <w:rPr>
          <w:rFonts w:ascii="微軟正黑體" w:hAnsi="微軟正黑體"/>
          <w:b w:val="0"/>
          <w:sz w:val="24"/>
        </w:rPr>
        <w:t>【趨勢型指標】移動平均線(MA)、一目均衡表、布林通道(BOLL)——順勢追蹤</w:t>
      </w:r>
    </w:p>
    <w:p>
      <w:pPr>
        <w:pStyle w:val="ListBullet"/>
        <w:ind w:left="283"/>
        <w:jc w:val="both"/>
      </w:pPr>
      <w:r>
        <w:rPr>
          <w:rFonts w:ascii="微軟正黑體" w:hAnsi="微軟正黑體"/>
          <w:b w:val="0"/>
          <w:sz w:val="24"/>
        </w:rPr>
        <w:t>【震盪型指標】RSI、MACD——區間高拋低吸，單邊行情需謹慎</w:t>
      </w:r>
    </w:p>
    <w:p>
      <w:pPr>
        <w:pStyle w:val="ListBullet"/>
        <w:ind w:left="283"/>
        <w:jc w:val="both"/>
      </w:pPr>
      <w:r>
        <w:rPr>
          <w:rFonts w:ascii="微軟正黑體" w:hAnsi="微軟正黑體"/>
          <w:b w:val="0"/>
          <w:sz w:val="24"/>
        </w:rPr>
        <w:t>【型態學】頭肩頂/底、雙重頂(W型)、三角收斂、箱型整理等</w:t>
      </w:r>
    </w:p>
    <w:p>
      <w:pPr>
        <w:pStyle w:val="ListBullet"/>
        <w:ind w:left="283"/>
        <w:jc w:val="both"/>
      </w:pPr>
      <w:r>
        <w:rPr>
          <w:rFonts w:ascii="微軟正黑體" w:hAnsi="微軟正黑體"/>
          <w:b w:val="0"/>
          <w:sz w:val="24"/>
        </w:rPr>
        <w:t>【支撐/壓力線】找出價格關鍵位置，作為買賣決策參考</w:t>
      </w:r>
    </w:p>
    <w:p>
      <w:pPr>
        <w:jc w:val="both"/>
      </w:pPr>
      <w:r>
        <w:rPr>
          <w:rFonts w:ascii="微軟正黑體" w:hAnsi="微軟正黑體"/>
          <w:b w:val="0"/>
          <w:sz w:val="24"/>
        </w:rPr>
        <w:t>重要提醒：技術分析是「歸納法」與「統計學」，歷史不會100%重演，不宜過度依賴單一指標，應搭配風險管理使用。</w:t>
      </w:r>
    </w:p>
    <w:p/>
    <w:p>
      <w:pPr>
        <w:pStyle w:val="Heading2"/>
        <w:jc w:val="left"/>
      </w:pPr>
      <w:r>
        <w:rPr>
          <w:rFonts w:ascii="微軟正黑體" w:hAnsi="微軟正黑體"/>
          <w:b/>
          <w:color w:val="003366"/>
          <w:sz w:val="28"/>
        </w:rPr>
        <w:t>4.3 籌碼面分析策略</w:t>
      </w:r>
    </w:p>
    <w:p>
      <w:pPr>
        <w:jc w:val="both"/>
      </w:pPr>
      <w:r>
        <w:rPr>
          <w:rFonts w:ascii="微軟正黑體" w:hAnsi="微軟正黑體"/>
          <w:b w:val="0"/>
          <w:sz w:val="24"/>
        </w:rPr>
        <w:t>籌碼面分析觀察大戶、法人與大股東的動向，原理是他們通常比散戶掌握更多資訊。</w:t>
      </w:r>
    </w:p>
    <w:p>
      <w:pPr>
        <w:pStyle w:val="ListBullet"/>
        <w:ind w:left="283"/>
        <w:jc w:val="both"/>
      </w:pPr>
      <w:r>
        <w:rPr>
          <w:rFonts w:ascii="微軟正黑體" w:hAnsi="微軟正黑體"/>
          <w:b w:val="0"/>
          <w:sz w:val="24"/>
        </w:rPr>
        <w:t>【三大法人買賣超】追蹤外资、投信、自營商的買賣方向</w:t>
      </w:r>
    </w:p>
    <w:p>
      <w:pPr>
        <w:pStyle w:val="ListBullet"/>
        <w:ind w:left="283"/>
        <w:jc w:val="both"/>
      </w:pPr>
      <w:r>
        <w:rPr>
          <w:rFonts w:ascii="微軟正黑體" w:hAnsi="微軟正黑體"/>
          <w:b w:val="0"/>
          <w:sz w:val="24"/>
        </w:rPr>
        <w:t>【千張大戶持股】觀察主力大戶的持股變化</w:t>
      </w:r>
    </w:p>
    <w:p>
      <w:pPr>
        <w:pStyle w:val="ListBullet"/>
        <w:ind w:left="283"/>
        <w:jc w:val="both"/>
      </w:pPr>
      <w:r>
        <w:rPr>
          <w:rFonts w:ascii="微軟正黑體" w:hAnsi="微軟正黑體"/>
          <w:b w:val="0"/>
          <w:sz w:val="24"/>
        </w:rPr>
        <w:t>【分點進出】追蹤券商分點的買賣情況</w:t>
      </w:r>
    </w:p>
    <w:p>
      <w:pPr>
        <w:pStyle w:val="ListBullet"/>
        <w:ind w:left="283"/>
        <w:jc w:val="both"/>
      </w:pPr>
      <w:r>
        <w:rPr>
          <w:rFonts w:ascii="微軟正黑體" w:hAnsi="微軟正黑體"/>
          <w:b w:val="0"/>
          <w:sz w:val="24"/>
        </w:rPr>
        <w:t>【注意】收盤後才能看到當日籌碼，有滞后性，需配合其他分析</w:t>
      </w:r>
    </w:p>
    <w:p/>
    <w:p>
      <w:pPr>
        <w:pStyle w:val="Heading2"/>
        <w:jc w:val="left"/>
      </w:pPr>
      <w:r>
        <w:rPr>
          <w:rFonts w:ascii="微軟正黑體" w:hAnsi="微軟正黑體"/>
          <w:b/>
          <w:color w:val="003366"/>
          <w:sz w:val="28"/>
        </w:rPr>
        <w:t>4.4 資產配置策略</w:t>
      </w:r>
    </w:p>
    <w:p>
      <w:pPr>
        <w:jc w:val="both"/>
      </w:pPr>
      <w:r>
        <w:rPr>
          <w:rFonts w:ascii="微軟正黑體" w:hAnsi="微軟正黑體"/>
          <w:b w:val="0"/>
          <w:sz w:val="24"/>
        </w:rPr>
        <w:t>四四三三法則是一種簡單有效的資產配置策略：</w:t>
      </w:r>
    </w:p>
    <w:p>
      <w:pPr>
        <w:pStyle w:val="ListBullet"/>
        <w:ind w:left="283"/>
        <w:jc w:val="both"/>
      </w:pPr>
      <w:r>
        <w:rPr>
          <w:rFonts w:ascii="微軟正黑體" w:hAnsi="微軟正黑體"/>
          <w:b w:val="0"/>
          <w:sz w:val="24"/>
        </w:rPr>
        <w:t>【40%股票】追求資本增值與成長潛力</w:t>
      </w:r>
    </w:p>
    <w:p>
      <w:pPr>
        <w:pStyle w:val="ListBullet"/>
        <w:ind w:left="283"/>
        <w:jc w:val="both"/>
      </w:pPr>
      <w:r>
        <w:rPr>
          <w:rFonts w:ascii="微軟正黑體" w:hAnsi="微軟正黑體"/>
          <w:b w:val="0"/>
          <w:sz w:val="24"/>
        </w:rPr>
        <w:t>【40%債券】提供穩定收益與市場下行的保護</w:t>
      </w:r>
    </w:p>
    <w:p>
      <w:pPr>
        <w:pStyle w:val="ListBullet"/>
        <w:ind w:left="283"/>
        <w:jc w:val="both"/>
      </w:pPr>
      <w:r>
        <w:rPr>
          <w:rFonts w:ascii="微軟正黑體" w:hAnsi="微軟正黑體"/>
          <w:b w:val="0"/>
          <w:sz w:val="24"/>
        </w:rPr>
        <w:t>【10%黃金】避險資產，對沖通膨與市場風險</w:t>
      </w:r>
    </w:p>
    <w:p>
      <w:pPr>
        <w:pStyle w:val="ListBullet"/>
        <w:ind w:left="283"/>
        <w:jc w:val="both"/>
      </w:pPr>
      <w:r>
        <w:rPr>
          <w:rFonts w:ascii="微軟正黑體" w:hAnsi="微軟正黑體"/>
          <w:b w:val="0"/>
          <w:sz w:val="24"/>
        </w:rPr>
        <w:t>【10%現金】保持流動性，可用於加碼或應急</w:t>
      </w:r>
    </w:p>
    <w:p>
      <w:pPr>
        <w:jc w:val="both"/>
      </w:pPr>
      <w:r>
        <w:rPr>
          <w:rFonts w:ascii="微軟正黑體" w:hAnsi="微軟正黑體"/>
          <w:b w:val="0"/>
          <w:sz w:val="24"/>
        </w:rPr>
        <w:t>此配置可根據年齡、風險偏好與市場環境進行調整。年輕時可提高股票比重，年長後則應增加債券與現金比例。</w:t>
      </w:r>
    </w:p>
    <w:p/>
    <w:p>
      <w:pPr>
        <w:pStyle w:val="Heading1"/>
        <w:jc w:val="left"/>
      </w:pPr>
      <w:r>
        <w:rPr>
          <w:rFonts w:ascii="微軟正黑體" w:hAnsi="微軟正黑體"/>
          <w:b/>
          <w:color w:val="003366"/>
          <w:sz w:val="32"/>
        </w:rPr>
        <w:t>五、風險與報酬的平衡</w:t>
      </w:r>
    </w:p>
    <w:p>
      <w:pPr>
        <w:jc w:val="center"/>
      </w:pPr>
      <w:r>
        <w:rPr>
          <w:color w:val="B4B4B4"/>
          <w:sz w:val="2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  <w:jc w:val="left"/>
      </w:pPr>
      <w:r>
        <w:rPr>
          <w:rFonts w:ascii="微軟正黑體" w:hAnsi="微軟正黑體"/>
          <w:b/>
          <w:color w:val="003366"/>
          <w:sz w:val="28"/>
        </w:rPr>
        <w:t>5.1 風險與報酬的基本關係</w:t>
      </w:r>
    </w:p>
    <w:p>
      <w:pPr>
        <w:jc w:val="both"/>
      </w:pPr>
      <w:r>
        <w:rPr>
          <w:rFonts w:ascii="微軟正黑體" w:hAnsi="微軟正黑體"/>
          <w:b w:val="0"/>
          <w:sz w:val="24"/>
        </w:rPr>
        <w:t>投資的基本原則是：潛在報酬愈高，潛在風險通常也愈大。這適用於所有投資產品與市場情況。沒有任何投資策略可以同時確保最高報酬與最低風險，投資人必須在兩者之間找到適合自己的平衡點。</w:t>
      </w:r>
    </w:p>
    <w:p/>
    <w:p>
      <w:pPr>
        <w:pStyle w:val="Heading2"/>
        <w:jc w:val="left"/>
      </w:pPr>
      <w:r>
        <w:rPr>
          <w:rFonts w:ascii="微軟正黑體" w:hAnsi="微軟正黑體"/>
          <w:b/>
          <w:color w:val="003366"/>
          <w:sz w:val="28"/>
        </w:rPr>
        <w:t>5.2 風險承受能力評估</w:t>
      </w:r>
    </w:p>
    <w:p>
      <w:pPr>
        <w:pStyle w:val="ListBullet"/>
        <w:ind w:left="283"/>
        <w:jc w:val="both"/>
      </w:pPr>
      <w:r>
        <w:rPr>
          <w:rFonts w:ascii="微軟正黑體" w:hAnsi="微軟正黑體"/>
          <w:b w:val="0"/>
          <w:sz w:val="24"/>
        </w:rPr>
        <w:t>【風險能力】在不改變生活品質的前提下，能承受多少損失？</w:t>
      </w:r>
    </w:p>
    <w:p>
      <w:pPr>
        <w:pStyle w:val="ListBullet"/>
        <w:ind w:left="283"/>
        <w:jc w:val="both"/>
      </w:pPr>
      <w:r>
        <w:rPr>
          <w:rFonts w:ascii="微軟正黑體" w:hAnsi="微軟正黑體"/>
          <w:b w:val="0"/>
          <w:sz w:val="24"/>
        </w:rPr>
        <w:t>【風險偏好】面對虧損時的情緒反應，是保守還是進取？</w:t>
      </w:r>
    </w:p>
    <w:p>
      <w:pPr>
        <w:pStyle w:val="ListBullet"/>
        <w:ind w:left="283"/>
        <w:jc w:val="both"/>
      </w:pPr>
      <w:r>
        <w:rPr>
          <w:rFonts w:ascii="微軟正黑體" w:hAnsi="微軟正黑體"/>
          <w:b w:val="0"/>
          <w:sz w:val="24"/>
        </w:rPr>
        <w:t>【投資目標】是追求資本增值、穩定收益，還是保本？</w:t>
      </w:r>
    </w:p>
    <w:p>
      <w:pPr>
        <w:pStyle w:val="ListBullet"/>
        <w:ind w:left="283"/>
        <w:jc w:val="both"/>
      </w:pPr>
      <w:r>
        <w:rPr>
          <w:rFonts w:ascii="微軟正黑體" w:hAnsi="微軟正黑體"/>
          <w:b w:val="0"/>
          <w:sz w:val="24"/>
        </w:rPr>
        <w:t>【投資期限】資金閒置的時間越長，可承受的波動越大</w:t>
      </w:r>
    </w:p>
    <w:p/>
    <w:p>
      <w:pPr>
        <w:pStyle w:val="Heading2"/>
        <w:jc w:val="left"/>
      </w:pPr>
      <w:r>
        <w:rPr>
          <w:rFonts w:ascii="微軟正黑體" w:hAnsi="微軟正黑體"/>
          <w:b/>
          <w:color w:val="003366"/>
          <w:sz w:val="28"/>
        </w:rPr>
        <w:t>5.3 常見資產配置比例建議</w:t>
      </w:r>
    </w:p>
    <w:p>
      <w:pPr>
        <w:jc w:val="both"/>
      </w:pPr>
      <w:r>
        <w:rPr>
          <w:rFonts w:ascii="微軟正黑體" w:hAnsi="微軟正黑體"/>
          <w:b w:val="0"/>
          <w:sz w:val="24"/>
        </w:rPr>
        <w:t>根據不同風險類型投資人的配置建議：</w:t>
      </w:r>
    </w:p>
    <w:p>
      <w:pPr>
        <w:pStyle w:val="ListBullet"/>
        <w:ind w:left="283"/>
        <w:jc w:val="both"/>
      </w:pPr>
      <w:r>
        <w:rPr>
          <w:rFonts w:ascii="微軟正黑體" w:hAnsi="微軟正黑體"/>
          <w:b w:val="0"/>
          <w:sz w:val="24"/>
        </w:rPr>
        <w:t>【積極型】股票50%、創業投資25%、加密貨幣15%、大宗商品10%</w:t>
      </w:r>
    </w:p>
    <w:p>
      <w:pPr>
        <w:pStyle w:val="ListBullet"/>
        <w:ind w:left="283"/>
        <w:jc w:val="both"/>
      </w:pPr>
      <w:r>
        <w:rPr>
          <w:rFonts w:ascii="微軟正黑體" w:hAnsi="微軟正黑體"/>
          <w:b w:val="0"/>
          <w:sz w:val="24"/>
        </w:rPr>
        <w:t>【平衡型】股票40%、債券30%、私募股權20%、現金10%</w:t>
      </w:r>
    </w:p>
    <w:p>
      <w:pPr>
        <w:pStyle w:val="ListBullet"/>
        <w:ind w:left="283"/>
        <w:jc w:val="both"/>
      </w:pPr>
      <w:r>
        <w:rPr>
          <w:rFonts w:ascii="微軟正黑體" w:hAnsi="微軟正黑體"/>
          <w:b w:val="0"/>
          <w:sz w:val="24"/>
        </w:rPr>
        <w:t>【保守型】黃金40%、債券40%、現金10%、防禦型股票10%</w:t>
      </w:r>
    </w:p>
    <w:p>
      <w:pPr>
        <w:jc w:val="both"/>
      </w:pPr>
      <w:r>
        <w:rPr>
          <w:rFonts w:ascii="微軟正黑體" w:hAnsi="微軟正黑體"/>
          <w:b w:val="0"/>
          <w:sz w:val="24"/>
        </w:rPr>
        <w:t>重要原則：定期檢視投資組合，根據市場變化與個人狀況進行動態調整，而非一旦設定就永遠不變。</w:t>
      </w:r>
    </w:p>
    <w:p/>
    <w:p>
      <w:pPr>
        <w:pStyle w:val="Heading1"/>
        <w:jc w:val="left"/>
      </w:pPr>
      <w:r>
        <w:rPr>
          <w:rFonts w:ascii="微軟正黑體" w:hAnsi="微軟正黑體"/>
          <w:b/>
          <w:color w:val="003366"/>
          <w:sz w:val="32"/>
        </w:rPr>
        <w:t>六、散戶實務操作建議</w:t>
      </w:r>
    </w:p>
    <w:p>
      <w:pPr>
        <w:jc w:val="center"/>
      </w:pPr>
      <w:r>
        <w:rPr>
          <w:color w:val="B4B4B4"/>
          <w:sz w:val="2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  <w:jc w:val="left"/>
      </w:pPr>
      <w:r>
        <w:rPr>
          <w:rFonts w:ascii="微軟正黑體" w:hAnsi="微軟正黑體"/>
          <w:b/>
          <w:color w:val="003366"/>
          <w:sz w:val="28"/>
        </w:rPr>
        <w:t>6.1 散戶常見錯誤認知</w:t>
      </w:r>
    </w:p>
    <w:p>
      <w:pPr>
        <w:pStyle w:val="ListBullet"/>
        <w:ind w:left="283"/>
        <w:jc w:val="both"/>
      </w:pPr>
      <w:r>
        <w:rPr>
          <w:rFonts w:ascii="微軟正黑體" w:hAnsi="微軟正黑體"/>
          <w:b w:val="0"/>
          <w:sz w:val="24"/>
        </w:rPr>
        <w:t>【錯誤1】把大師策略直接複製：巴菲特、张磊等人拥有普通散户无法获得的优势（资金规模、信息渠道、企业决策权等），邯郸学步反而容易亏损</w:t>
      </w:r>
    </w:p>
    <w:p>
      <w:pPr>
        <w:pStyle w:val="ListBullet"/>
        <w:ind w:left="283"/>
        <w:jc w:val="both"/>
      </w:pPr>
      <w:r>
        <w:rPr>
          <w:rFonts w:ascii="微軟正黑體" w:hAnsi="微軟正黑體"/>
          <w:b w:val="0"/>
          <w:sz w:val="24"/>
        </w:rPr>
        <w:t>【錯誤2】追求過高報酬：10萬元漲5倍與50萬元漲1倍的絕對收益相同，但風險程度完全不同。不追求過高收益，能讓風險敞口更小</w:t>
      </w:r>
    </w:p>
    <w:p>
      <w:pPr>
        <w:pStyle w:val="ListBullet"/>
        <w:ind w:left="283"/>
        <w:jc w:val="both"/>
      </w:pPr>
      <w:r>
        <w:rPr>
          <w:rFonts w:ascii="微軟正黑體" w:hAnsi="微軟正黑體"/>
          <w:b w:val="0"/>
          <w:sz w:val="24"/>
        </w:rPr>
        <w:t>【錯誤3】過度集中與頻繁交易：過度自信導致頻繁進出，增加交易成本的同時也降低了報酬率</w:t>
      </w:r>
    </w:p>
    <w:p>
      <w:pPr>
        <w:pStyle w:val="ListBullet"/>
        <w:ind w:left="283"/>
        <w:jc w:val="both"/>
      </w:pPr>
      <w:r>
        <w:rPr>
          <w:rFonts w:ascii="微軟正黑體" w:hAnsi="微軟正黑體"/>
          <w:b w:val="0"/>
          <w:sz w:val="24"/>
        </w:rPr>
        <w:t>【錯誤4】只看股價不看業績：過度關注短期股價波動，忽視企業基本面變化</w:t>
      </w:r>
    </w:p>
    <w:p/>
    <w:p>
      <w:pPr>
        <w:pStyle w:val="Heading2"/>
        <w:jc w:val="left"/>
      </w:pPr>
      <w:r>
        <w:rPr>
          <w:rFonts w:ascii="微軟正黑體" w:hAnsi="微軟正黑體"/>
          <w:b/>
          <w:color w:val="003366"/>
          <w:sz w:val="28"/>
        </w:rPr>
        <w:t>6.2 散戶八大投資原則</w:t>
      </w:r>
    </w:p>
    <w:p>
      <w:pPr>
        <w:pStyle w:val="ListBullet"/>
        <w:ind w:left="283"/>
        <w:jc w:val="both"/>
      </w:pPr>
      <w:r>
        <w:rPr>
          <w:rFonts w:ascii="微軟正黑體" w:hAnsi="微軟正黑體"/>
          <w:b w:val="0"/>
          <w:sz w:val="24"/>
        </w:rPr>
        <w:t>【原則1】只買自己能理解的股票：買股票就是買公司，要了解企業的產品、客戶與商業模式</w:t>
      </w:r>
    </w:p>
    <w:p>
      <w:pPr>
        <w:pStyle w:val="ListBullet"/>
        <w:ind w:left="283"/>
        <w:jc w:val="both"/>
      </w:pPr>
      <w:r>
        <w:rPr>
          <w:rFonts w:ascii="微軟正黑體" w:hAnsi="微軟正黑體"/>
          <w:b w:val="0"/>
          <w:sz w:val="24"/>
        </w:rPr>
        <w:t>【原則2】不追求過高的收益率：有时候慢就是快，安全性好的股票更能让人安心持有</w:t>
      </w:r>
    </w:p>
    <w:p>
      <w:pPr>
        <w:pStyle w:val="ListBullet"/>
        <w:ind w:left="283"/>
        <w:jc w:val="both"/>
      </w:pPr>
      <w:r>
        <w:rPr>
          <w:rFonts w:ascii="微軟正黑體" w:hAnsi="微軟正黑體"/>
          <w:b w:val="0"/>
          <w:sz w:val="24"/>
        </w:rPr>
        <w:t>【原則3】明白自己的能力邊際：清楚知道哪些股票可以操作，哪些與自己無關，不懂的堅決不做</w:t>
      </w:r>
    </w:p>
    <w:p>
      <w:pPr>
        <w:pStyle w:val="ListBullet"/>
        <w:ind w:left="283"/>
        <w:jc w:val="both"/>
      </w:pPr>
      <w:r>
        <w:rPr>
          <w:rFonts w:ascii="微軟正黑體" w:hAnsi="微軟正黑體"/>
          <w:b w:val="0"/>
          <w:sz w:val="24"/>
        </w:rPr>
        <w:t>【原則4】與國運緊密結合：選擇與國家經濟成長緊密相關的產業，如銀行、保險、消費等</w:t>
      </w:r>
    </w:p>
    <w:p>
      <w:pPr>
        <w:pStyle w:val="ListBullet"/>
        <w:ind w:left="283"/>
        <w:jc w:val="both"/>
      </w:pPr>
      <w:r>
        <w:rPr>
          <w:rFonts w:ascii="微軟正黑體" w:hAnsi="微軟正黑體"/>
          <w:b w:val="0"/>
          <w:sz w:val="24"/>
        </w:rPr>
        <w:t>【原則5】買股就要買龍頭：龍頭股確定性好、安全性高、波動率小，不容易被低估太久</w:t>
      </w:r>
    </w:p>
    <w:p>
      <w:pPr>
        <w:pStyle w:val="ListBullet"/>
        <w:ind w:left="283"/>
        <w:jc w:val="both"/>
      </w:pPr>
      <w:r>
        <w:rPr>
          <w:rFonts w:ascii="微軟正黑體" w:hAnsi="微軟正黑體"/>
          <w:b w:val="0"/>
          <w:sz w:val="24"/>
        </w:rPr>
        <w:t>【原則6】多關注業績，少關心股價：股價短期漲跌很難預測，專注企業價值才是根本</w:t>
      </w:r>
    </w:p>
    <w:p>
      <w:pPr>
        <w:pStyle w:val="ListBullet"/>
        <w:ind w:left="283"/>
        <w:jc w:val="both"/>
      </w:pPr>
      <w:r>
        <w:rPr>
          <w:rFonts w:ascii="微軟正黑體" w:hAnsi="微軟正黑體"/>
          <w:b w:val="0"/>
          <w:sz w:val="24"/>
        </w:rPr>
        <w:t>【原則7】長線才會少是非：時間是好公司的朋友，是爛公司的敵人</w:t>
      </w:r>
    </w:p>
    <w:p>
      <w:pPr>
        <w:pStyle w:val="ListBullet"/>
        <w:ind w:left="283"/>
        <w:jc w:val="both"/>
      </w:pPr>
      <w:r>
        <w:rPr>
          <w:rFonts w:ascii="微軟正黑體" w:hAnsi="微軟正黑體"/>
          <w:b w:val="0"/>
          <w:sz w:val="24"/>
        </w:rPr>
        <w:t>【原則8】建立能力圈同心圓：選定原點行業，逐步向外拓展，每個新領域至少觀察3年</w:t>
      </w:r>
    </w:p>
    <w:p/>
    <w:p>
      <w:pPr>
        <w:pStyle w:val="Heading2"/>
        <w:jc w:val="left"/>
      </w:pPr>
      <w:r>
        <w:rPr>
          <w:rFonts w:ascii="微軟正黑體" w:hAnsi="微軟正黑體"/>
          <w:b/>
          <w:color w:val="003366"/>
          <w:sz w:val="28"/>
        </w:rPr>
        <w:t>6.3 具體操作策略</w:t>
      </w:r>
    </w:p>
    <w:p>
      <w:pPr>
        <w:pStyle w:val="ListBullet"/>
        <w:ind w:left="283"/>
        <w:jc w:val="both"/>
      </w:pPr>
      <w:r>
        <w:rPr>
          <w:rFonts w:ascii="微軟正黑體" w:hAnsi="微軟正黑體"/>
          <w:b w:val="0"/>
          <w:sz w:val="24"/>
        </w:rPr>
        <w:t>【定期定額】忽視短期波動，紀律性地在固定時間投入固定金額，長期累積複利效果</w:t>
      </w:r>
    </w:p>
    <w:p>
      <w:pPr>
        <w:pStyle w:val="ListBullet"/>
        <w:ind w:left="283"/>
        <w:jc w:val="both"/>
      </w:pPr>
      <w:r>
        <w:rPr>
          <w:rFonts w:ascii="微軟正黑體" w:hAnsi="微軟正黑體"/>
          <w:b w:val="0"/>
          <w:sz w:val="24"/>
        </w:rPr>
        <w:t>【金字塔型操作】低檔時加重持股，高檔時逐步了結，避免倒金字塔型（高檔才加碼）</w:t>
      </w:r>
    </w:p>
    <w:p>
      <w:pPr>
        <w:pStyle w:val="ListBullet"/>
        <w:ind w:left="283"/>
        <w:jc w:val="both"/>
      </w:pPr>
      <w:r>
        <w:rPr>
          <w:rFonts w:ascii="微軟正黑體" w:hAnsi="微軟正黑體"/>
          <w:b w:val="0"/>
          <w:sz w:val="24"/>
        </w:rPr>
        <w:t>【平均成本法】將大額資金分批投入，避免一次性投入後遇到市場下跌</w:t>
      </w:r>
    </w:p>
    <w:p>
      <w:pPr>
        <w:pStyle w:val="ListBullet"/>
        <w:ind w:left="283"/>
        <w:jc w:val="both"/>
      </w:pPr>
      <w:r>
        <w:rPr>
          <w:rFonts w:ascii="微軟正黑體" w:hAnsi="微軟正黑體"/>
          <w:b w:val="0"/>
          <w:sz w:val="24"/>
        </w:rPr>
        <w:t>【設定止損點】預先設定止損價位，避免情緒化決策導致虧損擴大</w:t>
      </w:r>
    </w:p>
    <w:p/>
    <w:p>
      <w:pPr>
        <w:pStyle w:val="Heading1"/>
        <w:jc w:val="left"/>
      </w:pPr>
      <w:r>
        <w:rPr>
          <w:rFonts w:ascii="微軟正黑體" w:hAnsi="微軟正黑體"/>
          <w:b/>
          <w:color w:val="003366"/>
          <w:sz w:val="32"/>
        </w:rPr>
        <w:t>七、心理風險管理</w:t>
      </w:r>
    </w:p>
    <w:p>
      <w:pPr>
        <w:jc w:val="center"/>
      </w:pPr>
      <w:r>
        <w:rPr>
          <w:color w:val="B4B4B4"/>
          <w:sz w:val="2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  <w:jc w:val="left"/>
      </w:pPr>
      <w:r>
        <w:rPr>
          <w:rFonts w:ascii="微軟正黑體" w:hAnsi="微軟正黑體"/>
          <w:b/>
          <w:color w:val="003366"/>
          <w:sz w:val="28"/>
        </w:rPr>
        <w:t>7.1 常見行為金融偏誤</w:t>
      </w:r>
    </w:p>
    <w:p>
      <w:pPr>
        <w:pStyle w:val="ListBullet"/>
        <w:ind w:left="283"/>
        <w:jc w:val="both"/>
      </w:pPr>
      <w:r>
        <w:rPr>
          <w:rFonts w:ascii="微軟正黑體" w:hAnsi="微軟正黑體"/>
          <w:b w:val="0"/>
          <w:sz w:val="24"/>
        </w:rPr>
        <w:t>【損失厭惡】損失的痛苦感受大於等額盈利的快樂，導致「處分效果」：過早賣出獲利部位，卻遲遲不肯停損虧損部位</w:t>
      </w:r>
    </w:p>
    <w:p>
      <w:pPr>
        <w:pStyle w:val="ListBullet"/>
        <w:ind w:left="283"/>
        <w:jc w:val="both"/>
      </w:pPr>
      <w:r>
        <w:rPr>
          <w:rFonts w:ascii="微軟正黑體" w:hAnsi="微軟正黑體"/>
          <w:b w:val="0"/>
          <w:sz w:val="24"/>
        </w:rPr>
        <w:t>【過度自信】高估自己的判斷能力與資訊優勢，導致頻繁交易與過度集中</w:t>
      </w:r>
    </w:p>
    <w:p>
      <w:pPr>
        <w:pStyle w:val="ListBullet"/>
        <w:ind w:left="283"/>
        <w:jc w:val="both"/>
      </w:pPr>
      <w:r>
        <w:rPr>
          <w:rFonts w:ascii="微軟正黑體" w:hAnsi="微軟正黑體"/>
          <w:b w:val="0"/>
          <w:sz w:val="24"/>
        </w:rPr>
        <w:t>【錨定效應】過度看重買入價格或過去高點，以「回到成本價」做為賣出決策依據</w:t>
      </w:r>
    </w:p>
    <w:p>
      <w:pPr>
        <w:pStyle w:val="ListBullet"/>
        <w:ind w:left="283"/>
        <w:jc w:val="both"/>
      </w:pPr>
      <w:r>
        <w:rPr>
          <w:rFonts w:ascii="微軟正黑體" w:hAnsi="微軟正黑體"/>
          <w:b w:val="0"/>
          <w:sz w:val="24"/>
        </w:rPr>
        <w:t>【從眾行為】盲目跟隨市場熱點或群眾 decision，導致追高殺低</w:t>
      </w:r>
    </w:p>
    <w:p>
      <w:pPr>
        <w:pStyle w:val="ListBullet"/>
        <w:ind w:left="283"/>
        <w:jc w:val="both"/>
      </w:pPr>
      <w:r>
        <w:rPr>
          <w:rFonts w:ascii="微軟正黑體" w:hAnsi="微軟正黑體"/>
          <w:b w:val="0"/>
          <w:sz w:val="24"/>
        </w:rPr>
        <w:t>【近因效應】過度重視近期事件，忽視長期趨勢</w:t>
      </w:r>
    </w:p>
    <w:p/>
    <w:p>
      <w:pPr>
        <w:pStyle w:val="Heading2"/>
        <w:jc w:val="left"/>
      </w:pPr>
      <w:r>
        <w:rPr>
          <w:rFonts w:ascii="微軟正黑體" w:hAnsi="微軟正黑體"/>
          <w:b/>
          <w:color w:val="003366"/>
          <w:sz w:val="28"/>
        </w:rPr>
        <w:t>7.2 克服心理偏誤的方法</w:t>
      </w:r>
    </w:p>
    <w:p>
      <w:pPr>
        <w:pStyle w:val="ListBullet"/>
        <w:ind w:left="283"/>
        <w:jc w:val="both"/>
      </w:pPr>
      <w:r>
        <w:rPr>
          <w:rFonts w:ascii="微軟正黑體" w:hAnsi="微軟正黑體"/>
          <w:b w:val="0"/>
          <w:sz w:val="24"/>
        </w:rPr>
        <w:t>【寫投資日誌】記錄每次交易的決策過程與情緒，事後檢討哪些是被情緒左右</w:t>
      </w:r>
    </w:p>
    <w:p>
      <w:pPr>
        <w:pStyle w:val="ListBullet"/>
        <w:ind w:left="283"/>
        <w:jc w:val="both"/>
      </w:pPr>
      <w:r>
        <w:rPr>
          <w:rFonts w:ascii="微軟正黑體" w:hAnsi="微軟正黑體"/>
          <w:b w:val="0"/>
          <w:sz w:val="24"/>
        </w:rPr>
        <w:t>【制定明確紀律】在冷靜時預先訂定買賣原則，並嚴格執行，不因臨場情緒改變</w:t>
      </w:r>
    </w:p>
    <w:p>
      <w:pPr>
        <w:pStyle w:val="ListBullet"/>
        <w:ind w:left="283"/>
        <w:jc w:val="both"/>
      </w:pPr>
      <w:r>
        <w:rPr>
          <w:rFonts w:ascii="微軟正黑體" w:hAnsi="微軟正黑體"/>
          <w:b w:val="0"/>
          <w:sz w:val="24"/>
        </w:rPr>
        <w:t>【運用工具輔助】使用智慧下單系統、條件單、自動停利停損單，減少人為情緒干擾</w:t>
      </w:r>
    </w:p>
    <w:p>
      <w:pPr>
        <w:pStyle w:val="ListBullet"/>
        <w:ind w:left="283"/>
        <w:jc w:val="both"/>
      </w:pPr>
      <w:r>
        <w:rPr>
          <w:rFonts w:ascii="微軟正黑體" w:hAnsi="微軟正黑體"/>
          <w:b w:val="0"/>
          <w:sz w:val="24"/>
        </w:rPr>
        <w:t>【定期定額被動投資】減少主動猜測市場的頻率，用系統性紀律取代情緒化決策</w:t>
      </w:r>
    </w:p>
    <w:p>
      <w:pPr>
        <w:pStyle w:val="ListBullet"/>
        <w:ind w:left="283"/>
        <w:jc w:val="both"/>
      </w:pPr>
      <w:r>
        <w:rPr>
          <w:rFonts w:ascii="微軟正黑體" w:hAnsi="微軟正黑體"/>
          <w:b w:val="0"/>
          <w:sz w:val="24"/>
        </w:rPr>
        <w:t>【培養耐心】接受投資沒有捷徑的事實，用馬拉松心態而非百米衝刺心態</w:t>
      </w:r>
    </w:p>
    <w:p>
      <w:pPr>
        <w:jc w:val="both"/>
      </w:pPr>
      <w:r>
        <w:rPr>
          <w:rFonts w:ascii="微軟正黑體" w:hAnsi="微軟正黑體"/>
          <w:b w:val="0"/>
          <w:sz w:val="24"/>
        </w:rPr>
        <w:t>股神巴菲特的師父班傑明·葛拉漢曾说：「投資者最大的問題，甚至是他最大的敵人，可能就是他自己。」了解自己的心理弱點，是改善投資決策的第一步。</w:t>
      </w:r>
    </w:p>
    <w:p/>
    <w:p>
      <w:pPr>
        <w:pStyle w:val="Heading1"/>
        <w:jc w:val="left"/>
      </w:pPr>
      <w:r>
        <w:rPr>
          <w:rFonts w:ascii="微軟正黑體" w:hAnsi="微軟正黑體"/>
          <w:b/>
          <w:color w:val="003366"/>
          <w:sz w:val="32"/>
        </w:rPr>
        <w:t>八、綜合結論與建議</w:t>
      </w:r>
    </w:p>
    <w:p>
      <w:pPr>
        <w:jc w:val="center"/>
      </w:pPr>
      <w:r>
        <w:rPr>
          <w:color w:val="B4B4B4"/>
          <w:sz w:val="2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  <w:jc w:val="left"/>
      </w:pPr>
      <w:r>
        <w:rPr>
          <w:rFonts w:ascii="微軟正黑體" w:hAnsi="微軟正黑體"/>
          <w:b/>
          <w:color w:val="003366"/>
          <w:sz w:val="28"/>
        </w:rPr>
        <w:t>8.1 核心發現</w:t>
      </w:r>
    </w:p>
    <w:p>
      <w:pPr>
        <w:pStyle w:val="ListBullet"/>
        <w:ind w:left="283"/>
        <w:jc w:val="both"/>
      </w:pPr>
      <w:r>
        <w:rPr>
          <w:rFonts w:ascii="微軟正黑體" w:hAnsi="微軟正黑體"/>
          <w:b w:val="0"/>
          <w:sz w:val="24"/>
        </w:rPr>
        <w:t>風險管理是投資成功的關鍵，而非追求最高報酬</w:t>
      </w:r>
    </w:p>
    <w:p>
      <w:pPr>
        <w:pStyle w:val="ListBullet"/>
        <w:ind w:left="283"/>
        <w:jc w:val="both"/>
      </w:pPr>
      <w:r>
        <w:rPr>
          <w:rFonts w:ascii="微軟正黑體" w:hAnsi="微軟正黑體"/>
          <w:b w:val="0"/>
          <w:sz w:val="24"/>
        </w:rPr>
        <w:t>分散投資與資產配置是降低風險最有效的方式</w:t>
      </w:r>
    </w:p>
    <w:p>
      <w:pPr>
        <w:pStyle w:val="ListBullet"/>
        <w:ind w:left="283"/>
        <w:jc w:val="both"/>
      </w:pPr>
      <w:r>
        <w:rPr>
          <w:rFonts w:ascii="微軟正黑體" w:hAnsi="微軟正黑體"/>
          <w:b w:val="0"/>
          <w:sz w:val="24"/>
        </w:rPr>
        <w:t>基本面、技術面、籌碼面應相互搭配，避免偏廢其一</w:t>
      </w:r>
    </w:p>
    <w:p>
      <w:pPr>
        <w:pStyle w:val="ListBullet"/>
        <w:ind w:left="283"/>
        <w:jc w:val="both"/>
      </w:pPr>
      <w:r>
        <w:rPr>
          <w:rFonts w:ascii="微軟正黑體" w:hAnsi="微軟正黑體"/>
          <w:b w:val="0"/>
          <w:sz w:val="24"/>
        </w:rPr>
        <w:t>行為金融學的認知偏誤是散戶虧損的主因之一</w:t>
      </w:r>
    </w:p>
    <w:p>
      <w:pPr>
        <w:pStyle w:val="ListBullet"/>
        <w:ind w:left="283"/>
        <w:jc w:val="both"/>
      </w:pPr>
      <w:r>
        <w:rPr>
          <w:rFonts w:ascii="微軟正黑體" w:hAnsi="微軟正黑體"/>
          <w:b w:val="0"/>
          <w:sz w:val="24"/>
        </w:rPr>
        <w:t>長期投資與定期定額策略適合大多數散戶投資人</w:t>
      </w:r>
    </w:p>
    <w:p/>
    <w:p>
      <w:pPr>
        <w:pStyle w:val="Heading2"/>
        <w:jc w:val="left"/>
      </w:pPr>
      <w:r>
        <w:rPr>
          <w:rFonts w:ascii="微軟正黑體" w:hAnsi="微軟正黑體"/>
          <w:b/>
          <w:color w:val="003366"/>
          <w:sz w:val="28"/>
        </w:rPr>
        <w:t>8.2 行動建議</w:t>
      </w:r>
    </w:p>
    <w:p>
      <w:pPr>
        <w:pStyle w:val="ListBullet"/>
        <w:ind w:left="283"/>
        <w:jc w:val="both"/>
      </w:pPr>
      <w:r>
        <w:rPr>
          <w:rFonts w:ascii="微軟正黑體" w:hAnsi="微軟正黑體"/>
          <w:b w:val="0"/>
          <w:sz w:val="24"/>
        </w:rPr>
        <w:t>【立即行動】設定個人風險承受上限與停損點，嚴格遵守投資紀律</w:t>
      </w:r>
    </w:p>
    <w:p>
      <w:pPr>
        <w:pStyle w:val="ListBullet"/>
        <w:ind w:left="283"/>
        <w:jc w:val="both"/>
      </w:pPr>
      <w:r>
        <w:rPr>
          <w:rFonts w:ascii="微軟正黑體" w:hAnsi="微軟正黑體"/>
          <w:b w:val="0"/>
          <w:sz w:val="24"/>
        </w:rPr>
        <w:t>【短中期】建立多元化的投資組合，避免過度集中於單一股票或產業</w:t>
      </w:r>
    </w:p>
    <w:p>
      <w:pPr>
        <w:pStyle w:val="ListBullet"/>
        <w:ind w:left="283"/>
        <w:jc w:val="both"/>
      </w:pPr>
      <w:r>
        <w:rPr>
          <w:rFonts w:ascii="微軟正黑體" w:hAnsi="微軟正黑體"/>
          <w:b w:val="0"/>
          <w:sz w:val="24"/>
        </w:rPr>
        <w:t>【長期目標】培養自己的能力圈，選擇理解且信任的企業進行長期投資</w:t>
      </w:r>
    </w:p>
    <w:p>
      <w:pPr>
        <w:pStyle w:val="ListBullet"/>
        <w:ind w:left="283"/>
        <w:jc w:val="both"/>
      </w:pPr>
      <w:r>
        <w:rPr>
          <w:rFonts w:ascii="微軟正黑體" w:hAnsi="微軟正黑體"/>
          <w:b w:val="0"/>
          <w:sz w:val="24"/>
        </w:rPr>
        <w:t>【持續學習】關注行為金融學與風險管理的最新研究，不斷提升投資素養</w:t>
      </w:r>
    </w:p>
    <w:p/>
    <w:p>
      <w:pPr>
        <w:pStyle w:val="Heading2"/>
        <w:jc w:val="left"/>
      </w:pPr>
      <w:r>
        <w:rPr>
          <w:rFonts w:ascii="微軟正黑體" w:hAnsi="微軟正黑體"/>
          <w:b/>
          <w:color w:val="003366"/>
          <w:sz w:val="28"/>
        </w:rPr>
        <w:t>8.3 給不同投資人的建議</w:t>
      </w:r>
    </w:p>
    <w:p>
      <w:pPr>
        <w:pStyle w:val="ListBullet"/>
        <w:ind w:left="283"/>
        <w:jc w:val="both"/>
      </w:pPr>
      <w:r>
        <w:rPr>
          <w:rFonts w:ascii="微軟正黑體" w:hAnsi="微軟正黑體"/>
          <w:b w:val="0"/>
          <w:sz w:val="24"/>
        </w:rPr>
        <w:t>【新手投資人】從定期定額ETF或台灣50著手，先建立投資紀律再追求報酬</w:t>
      </w:r>
    </w:p>
    <w:p>
      <w:pPr>
        <w:pStyle w:val="ListBullet"/>
        <w:ind w:left="283"/>
        <w:jc w:val="both"/>
      </w:pPr>
      <w:r>
        <w:rPr>
          <w:rFonts w:ascii="微軟正黑體" w:hAnsi="微軟正黑體"/>
          <w:b w:val="0"/>
          <w:sz w:val="24"/>
        </w:rPr>
        <w:t>【有經驗投資人】強化基本面研究能力，建立自己的能力圈，減少對消息面的依賴</w:t>
      </w:r>
    </w:p>
    <w:p>
      <w:pPr>
        <w:pStyle w:val="ListBullet"/>
        <w:ind w:left="283"/>
        <w:jc w:val="both"/>
      </w:pPr>
      <w:r>
        <w:rPr>
          <w:rFonts w:ascii="微軟正黑體" w:hAnsi="微軟正黑體"/>
          <w:b w:val="0"/>
          <w:sz w:val="24"/>
        </w:rPr>
        <w:t>【高階投資人】可考慮多因子選股策略，並適當運用避險工具管理風險</w:t>
      </w:r>
    </w:p>
    <w:p/>
    <w:p>
      <w:pPr>
        <w:jc w:val="center"/>
      </w:pPr>
      <w:r>
        <w:rPr>
          <w:color w:val="B4B4B4"/>
          <w:sz w:val="20"/>
        </w:rPr>
        <w:t>──────────────────────────────────────────────────</w:t>
      </w:r>
    </w:p>
    <w:p>
      <w:pPr>
        <w:spacing w:before="600"/>
        <w:jc w:val="center"/>
      </w:pPr>
      <w:r>
        <w:rPr>
          <w:rFonts w:ascii="微軟正黑體" w:hAnsi="微軟正黑體"/>
          <w:b w:val="0"/>
          <w:color w:val="787878"/>
          <w:sz w:val="22"/>
        </w:rPr>
        <w:t>本報告由小安彙整｜研究助理：小歐｜千問｜拉瑪｜撈仔｜小咪</w:t>
      </w:r>
    </w:p>
    <w:p>
      <w:pPr>
        <w:jc w:val="center"/>
      </w:pPr>
      <w:r>
        <w:rPr>
          <w:rFonts w:ascii="微軟正黑體" w:hAnsi="微軟正黑體"/>
          <w:b w:val="0"/>
          <w:color w:val="787878"/>
          <w:sz w:val="22"/>
        </w:rPr>
        <w:t>生成日期：2026年04月28日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before="60"/>
    </w:pPr>
    <w:rPr>
      <w:rFonts w:ascii="微軟正黑體" w:hAnsi="微軟正黑體" w:eastAsia="微軟正黑體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