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</w:rPr>
        <w:t>📊 2026年各資產報酬率報告</w:t>
      </w:r>
    </w:p>
    <w:p>
      <w:pPr>
        <w:jc w:val="center"/>
      </w:pPr>
      <w:r>
        <w:rPr>
          <w:color w:val="999999"/>
          <w:sz w:val="20"/>
        </w:rPr>
        <w:t>報告日期：2026年04月30日</w:t>
      </w:r>
    </w:p>
    <w:p>
      <w:pPr>
        <w:jc w:val="center"/>
      </w:pPr>
      <w:r>
        <w:rPr>
          <w:color w:val="0066CC"/>
          <w:sz w:val="22"/>
        </w:rPr>
        <w:t>資料區間：2026年01月01日 ～ 2026年04月30日</w:t>
      </w:r>
    </w:p>
    <w:p/>
    <w:p>
      <w:pPr>
        <w:pStyle w:val="Heading1"/>
      </w:pPr>
      <w:r>
        <w:rPr>
          <w:color w:val="1F497D"/>
        </w:rPr>
        <w:t>📈 股市與加密貨幣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資產</w:t>
            </w:r>
          </w:p>
        </w:tc>
        <w:tc>
          <w:tcPr>
            <w:tcW w:type="dxa" w:w="2493"/>
          </w:tcPr>
          <w:p>
            <w:r>
              <w:rPr>
                <w:b/>
              </w:rPr>
              <w:t>期初價格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期末價格</w:t>
            </w:r>
          </w:p>
        </w:tc>
        <w:tc>
          <w:tcPr>
            <w:tcW w:type="dxa" w:w="2493"/>
          </w:tcPr>
          <w:p>
            <w:r>
              <w:rPr>
                <w:b/>
              </w:rPr>
              <w:t>報酬率</w:t>
            </w:r>
          </w:p>
        </w:tc>
      </w:tr>
      <w:tr>
        <w:tc>
          <w:tcPr>
            <w:tcW w:type="dxa" w:w="2493"/>
          </w:tcPr>
          <w:p>
            <w:r>
              <w:t>🇰🇷 韓股 KOSPI</w:t>
            </w:r>
          </w:p>
        </w:tc>
        <w:tc>
          <w:tcPr>
            <w:tcW w:type="dxa" w:w="2493"/>
          </w:tcPr>
          <w:p>
            <w:r>
              <w:t>4,309.63</w:t>
            </w:r>
          </w:p>
        </w:tc>
        <w:tc>
          <w:tcPr>
            <w:tcW w:type="dxa" w:w="2493"/>
          </w:tcPr>
          <w:p>
            <w:r>
              <w:t>6,612.68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+53.44%</w:t>
            </w:r>
          </w:p>
        </w:tc>
      </w:tr>
      <w:tr>
        <w:tc>
          <w:tcPr>
            <w:tcW w:type="dxa" w:w="2493"/>
          </w:tcPr>
          <w:p>
            <w:r>
              <w:t>🇹🇼 台股 TAIEX</w:t>
            </w:r>
          </w:p>
        </w:tc>
        <w:tc>
          <w:tcPr>
            <w:tcW w:type="dxa" w:w="2493"/>
          </w:tcPr>
          <w:p>
            <w:r>
              <w:t>29,349.81</w:t>
            </w:r>
          </w:p>
        </w:tc>
        <w:tc>
          <w:tcPr>
            <w:tcW w:type="dxa" w:w="2493"/>
          </w:tcPr>
          <w:p>
            <w:r>
              <w:t>38,926.63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+32.63%</w:t>
            </w:r>
          </w:p>
        </w:tc>
      </w:tr>
      <w:tr>
        <w:tc>
          <w:tcPr>
            <w:tcW w:type="dxa" w:w="2493"/>
          </w:tcPr>
          <w:p>
            <w:r>
              <w:t>🇯🇵 日經 Nikkei</w:t>
            </w:r>
          </w:p>
        </w:tc>
        <w:tc>
          <w:tcPr>
            <w:tcW w:type="dxa" w:w="2493"/>
          </w:tcPr>
          <w:p>
            <w:r>
              <w:t>51,832.80</w:t>
            </w:r>
          </w:p>
        </w:tc>
        <w:tc>
          <w:tcPr>
            <w:tcW w:type="dxa" w:w="2493"/>
          </w:tcPr>
          <w:p>
            <w:r>
              <w:t>59,111.55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+14.04%</w:t>
            </w:r>
          </w:p>
        </w:tc>
      </w:tr>
      <w:tr>
        <w:tc>
          <w:tcPr>
            <w:tcW w:type="dxa" w:w="2493"/>
          </w:tcPr>
          <w:p>
            <w:r>
              <w:t>🇺🇸 S&amp;P 500</w:t>
            </w:r>
          </w:p>
        </w:tc>
        <w:tc>
          <w:tcPr>
            <w:tcW w:type="dxa" w:w="2493"/>
          </w:tcPr>
          <w:p>
            <w:r>
              <w:t>6,858.47</w:t>
            </w:r>
          </w:p>
        </w:tc>
        <w:tc>
          <w:tcPr>
            <w:tcW w:type="dxa" w:w="2493"/>
          </w:tcPr>
          <w:p>
            <w:r>
              <w:t>7,135.95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+4.05%</w:t>
            </w:r>
          </w:p>
        </w:tc>
      </w:tr>
      <w:tr>
        <w:tc>
          <w:tcPr>
            <w:tcW w:type="dxa" w:w="2493"/>
          </w:tcPr>
          <w:p>
            <w:r>
              <w:t>🇺🇸 Nasdaq</w:t>
            </w:r>
          </w:p>
        </w:tc>
        <w:tc>
          <w:tcPr>
            <w:tcW w:type="dxa" w:w="2493"/>
          </w:tcPr>
          <w:p>
            <w:r>
              <w:t>23,235.63</w:t>
            </w:r>
          </w:p>
        </w:tc>
        <w:tc>
          <w:tcPr>
            <w:tcW w:type="dxa" w:w="2493"/>
          </w:tcPr>
          <w:p>
            <w:r>
              <w:t>24,673.24</w:t>
            </w:r>
          </w:p>
        </w:tc>
        <w:tc>
          <w:tcPr>
            <w:tcW w:type="dxa" w:w="2493"/>
          </w:tcPr>
          <w:p>
            <w:r>
              <w:rPr>
                <w:color w:val="008000"/>
              </w:rPr>
              <w:t>+6.19%</w:t>
            </w:r>
          </w:p>
        </w:tc>
      </w:tr>
      <w:tr>
        <w:tc>
          <w:tcPr>
            <w:tcW w:type="dxa" w:w="2493"/>
          </w:tcPr>
          <w:p>
            <w:r>
              <w:t>💰 比特幣 BTC</w:t>
            </w:r>
          </w:p>
        </w:tc>
        <w:tc>
          <w:tcPr>
            <w:tcW w:type="dxa" w:w="2493"/>
          </w:tcPr>
          <w:p>
            <w:r>
              <w:t>88,731.98</w:t>
            </w:r>
          </w:p>
        </w:tc>
        <w:tc>
          <w:tcPr>
            <w:tcW w:type="dxa" w:w="2493"/>
          </w:tcPr>
          <w:p>
            <w:r>
              <w:t>75,750.01</w:t>
            </w:r>
          </w:p>
        </w:tc>
        <w:tc>
          <w:tcPr>
            <w:tcW w:type="dxa" w:w="2493"/>
          </w:tcPr>
          <w:p>
            <w:r>
              <w:rPr>
                <w:color w:val="FF0000"/>
              </w:rPr>
              <w:t>-14.63%</w:t>
            </w:r>
          </w:p>
        </w:tc>
      </w:tr>
    </w:tbl>
    <w:p/>
    <w:p>
      <w:r>
        <w:rPr>
          <w:b/>
        </w:rPr>
        <w:t>📝 不動產市場備註：</w:t>
      </w:r>
    </w:p>
    <w:p>
      <w:r>
        <w:rPr>
          <w:color w:val="808080"/>
          <w:sz w:val="18"/>
        </w:rPr>
        <w:t>※ 2026年以來台灣房地產價格指數帳面報酬率約 +1~2%（年化），落後股市表現。</w:t>
      </w:r>
    </w:p>
    <w:p>
      <w:pPr>
        <w:jc w:val="center"/>
      </w:pPr>
      <w:r>
        <w:rPr>
          <w:color w:val="AAAAAA"/>
          <w:sz w:val="16"/>
        </w:rPr>
        <w:t>小安助理 · 2026年04月30日 · 資料來源：Yahoo Finance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