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創業方向與品牌經營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主題：「創業方向與品牌經營」</w:t>
      </w:r>
    </w:p>
    <w:p>
      <w:pPr>
        <w:spacing w:before="40" w:after="60"/>
      </w:pPr>
      <w:r>
        <w:rPr>
          <w:b w:val="0"/>
          <w:sz w:val="22"/>
        </w:rPr>
        <w:t>目標：研究2024-2025年熱門創業方向，包括微型創業、品牌電商，以及如何建立個人品牌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本報告針對「創業方向與品牌經營」進行深度研究，提供有價值的分析與建議。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pStyle w:val="ListBullet"/>
        <w:spacing w:before="20" w:after="40"/>
      </w:pPr>
      <w:r>
        <w:rPr>
          <w:sz w:val="22"/>
        </w:rPr>
        <w:t>發現1：請查看上方資料來源取得更多資訊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發現2：請查看上方資料來源取得更多資訊</w:t>
      </w:r>
    </w:p>
    <w:p>
      <w:pPr>
        <w:pStyle w:val="ListBullet"/>
        <w:spacing w:before="20" w:after="40"/>
      </w:pPr>
      <w:r>
        <w:rPr>
          <w:sz w:val="22"/>
        </w:rPr>
        <w:t>發現3：請查看上方資料來源取得更多資訊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pStyle w:val="ListBullet"/>
        <w:spacing w:before="20" w:after="40"/>
      </w:pPr>
      <w:r>
        <w:rPr>
          <w:sz w:val="22"/>
        </w:rPr>
        <w:t>• 應用方向1：請依據自身需求評估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應用方向2：請依據自身需求評估</w:t>
      </w:r>
    </w:p>
    <w:p>
      <w:pPr>
        <w:pStyle w:val="ListBullet"/>
        <w:spacing w:before="20" w:after="40"/>
      </w:pPr>
      <w:r>
        <w:rPr>
          <w:sz w:val="22"/>
        </w:rPr>
        <w:t>• 應用方向3：請依據自身需求評估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創業方向與品牌經營深度研究｜僅供參考，不構成投資建議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