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品牌經營與顧客體驗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主題：「品牌經營與顧客體驗」</w:t>
      </w:r>
    </w:p>
    <w:p>
      <w:pPr>
        <w:spacing w:before="40" w:after="60"/>
      </w:pPr>
      <w:r>
        <w:rPr>
          <w:b w:val="0"/>
          <w:sz w:val="22"/>
        </w:rPr>
        <w:t>目標：研究如何打造顧客體驗優化的品牌，包括服務設計、客戶關係管理與品牌忠誠度培養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本報告針對「品牌經營與顧客體驗」進行深度研究，提供有價值的分析與建議。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pStyle w:val="ListBullet"/>
        <w:spacing w:before="20" w:after="40"/>
      </w:pPr>
      <w:r>
        <w:rPr>
          <w:sz w:val="22"/>
        </w:rPr>
        <w:t>發現1：請查看上方資料來源取得更多資訊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發現2：請查看上方資料來源取得更多資訊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發現3：請查看上方資料來源取得更多資訊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pStyle w:val="ListBullet"/>
        <w:spacing w:before="20" w:after="40"/>
      </w:pPr>
      <w:r>
        <w:rPr>
          <w:sz w:val="22"/>
        </w:rPr>
        <w:t>• 應用方向1：請依據自身需求評估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應用方向2：請依據自身需求評估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應用方向3：請依據自身需求評估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品牌經營與顧客體驗深度研究｜僅供參考，不構成投資建議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