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0EF01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Identification &amp; Time Context</w:t>
      </w:r>
    </w:p>
    <w:p w14:paraId="6FADD958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not used directly for scoring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t>, but help with tracking and analysis.</w:t>
      </w:r>
    </w:p>
    <w:p w14:paraId="7B77F8F4" w14:textId="77777777" w:rsidR="00FD69F4" w:rsidRPr="00FD69F4" w:rsidRDefault="00FD69F4" w:rsidP="00FD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Unique record identifier for each observation.</w:t>
      </w:r>
    </w:p>
    <w:p w14:paraId="4496AFBD" w14:textId="77777777" w:rsidR="00FD69F4" w:rsidRPr="00FD69F4" w:rsidRDefault="00FD69F4" w:rsidP="00FD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Customer_ID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Unique identifier for a customer across multiple months.</w:t>
      </w:r>
    </w:p>
    <w:p w14:paraId="63E0AC51" w14:textId="77777777" w:rsidR="00FD69F4" w:rsidRPr="00FD69F4" w:rsidRDefault="00FD69F4" w:rsidP="00FD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Month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The reporting month of the customer’s financial/credit status.</w:t>
      </w:r>
    </w:p>
    <w:p w14:paraId="3D3F8448" w14:textId="77777777" w:rsidR="00FD69F4" w:rsidRPr="00FD69F4" w:rsidRDefault="00FD69F4" w:rsidP="00FD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Customer’s name (not used in credit scoring).</w:t>
      </w:r>
    </w:p>
    <w:p w14:paraId="48C2845D" w14:textId="77777777" w:rsidR="00FD69F4" w:rsidRPr="00FD69F4" w:rsidRDefault="00FD69F4" w:rsidP="00FD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SSN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Social Security Number or national ID (used for identity verification, not scoring).</w:t>
      </w:r>
    </w:p>
    <w:p w14:paraId="695CC531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35D6E266">
          <v:rect id="_x0000_i1025" style="width:0;height:1.5pt" o:hralign="center" o:hrstd="t" o:hr="t" fillcolor="#a0a0a0" stroked="f"/>
        </w:pict>
      </w:r>
    </w:p>
    <w:p w14:paraId="2705C7BD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Demographics &amp; Employment</w:t>
      </w:r>
    </w:p>
    <w:p w14:paraId="23CC5675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indirectly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t xml:space="preserve"> to assess stability and income reliability.</w:t>
      </w:r>
    </w:p>
    <w:p w14:paraId="711D9434" w14:textId="77777777" w:rsidR="00FD69F4" w:rsidRPr="00FD69F4" w:rsidRDefault="00FD69F4" w:rsidP="00FD6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Customer’s age. Extremely low or very high ages may signal higher risk depending on policy.</w:t>
      </w:r>
    </w:p>
    <w:p w14:paraId="16CB7698" w14:textId="77777777" w:rsidR="00FD69F4" w:rsidRPr="00FD69F4" w:rsidRDefault="00FD69F4" w:rsidP="00FD6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Occupation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Type of job. Some occupations are statistically associated with more stable income.</w:t>
      </w:r>
    </w:p>
    <w:p w14:paraId="169167AF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0FB83CE6">
          <v:rect id="_x0000_i1026" style="width:0;height:1.5pt" o:hralign="center" o:hrstd="t" o:hr="t" fillcolor="#a0a0a0" stroked="f"/>
        </w:pict>
      </w:r>
    </w:p>
    <w:p w14:paraId="63435C78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Income &amp; Earnings Capacity</w:t>
      </w:r>
    </w:p>
    <w:p w14:paraId="2A3F54C4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t xml:space="preserve"> for repayment ability.</w:t>
      </w:r>
    </w:p>
    <w:p w14:paraId="5AA3AFA1" w14:textId="77777777" w:rsidR="00FD69F4" w:rsidRPr="00FD69F4" w:rsidRDefault="00FD69F4" w:rsidP="00FD6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Annual_Income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Total yearly income. Higher income generally improves creditworthiness.</w:t>
      </w:r>
    </w:p>
    <w:p w14:paraId="549597D1" w14:textId="77777777" w:rsidR="00FD69F4" w:rsidRPr="00FD69F4" w:rsidRDefault="00FD69F4" w:rsidP="00FD6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Monthly_Inhand_Salary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Net monthly income after deductions. Indicates actual cash available to service debt.</w:t>
      </w:r>
    </w:p>
    <w:p w14:paraId="09EE0F16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2A04EEDD">
          <v:rect id="_x0000_i1027" style="width:0;height:1.5pt" o:hralign="center" o:hrstd="t" o:hr="t" fillcolor="#a0a0a0" stroked="f"/>
        </w:pict>
      </w:r>
    </w:p>
    <w:p w14:paraId="0CC57086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Banking &amp; Credit Exposure</w:t>
      </w:r>
    </w:p>
    <w:p w14:paraId="0D7A7AA2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Shows how financially leveraged the customer is.</w:t>
      </w:r>
    </w:p>
    <w:p w14:paraId="2EBF43F0" w14:textId="77777777" w:rsidR="00FD69F4" w:rsidRPr="00FD69F4" w:rsidRDefault="00FD69F4" w:rsidP="00FD6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Num_Bank_Accounts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Number of bank accounts held. Too many may suggest complexity; too few may indicate thin credit history.</w:t>
      </w:r>
    </w:p>
    <w:p w14:paraId="7A9E12AB" w14:textId="77777777" w:rsidR="00FD69F4" w:rsidRPr="00FD69F4" w:rsidRDefault="00FD69F4" w:rsidP="00FD6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Num_Credit_Card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Number of active credit cards. More cards increase available credit but may raise risk if mismanaged.</w:t>
      </w:r>
    </w:p>
    <w:p w14:paraId="1D3F2B13" w14:textId="77777777" w:rsidR="00FD69F4" w:rsidRPr="00FD69F4" w:rsidRDefault="00FD69F4" w:rsidP="00FD6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Num_of_Loan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Total number of loans currently held. More loans = higher debt burden.</w:t>
      </w:r>
    </w:p>
    <w:p w14:paraId="1B64429C" w14:textId="77777777" w:rsidR="00FD69F4" w:rsidRPr="00FD69F4" w:rsidRDefault="00FD69F4" w:rsidP="00FD6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Type_of_Loan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Loan categories (e.g., personal, auto, mortgage). Secured loans are usually less risky than unsecured ones.</w:t>
      </w:r>
    </w:p>
    <w:p w14:paraId="705C11D1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1A4C6DAD">
          <v:rect id="_x0000_i1028" style="width:0;height:1.5pt" o:hralign="center" o:hrstd="t" o:hr="t" fillcolor="#a0a0a0" stroked="f"/>
        </w:pict>
      </w:r>
    </w:p>
    <w:p w14:paraId="17247324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Interest &amp; Credit Terms</w:t>
      </w:r>
    </w:p>
    <w:p w14:paraId="6C61FB6D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Reflects how lenders already perceive the borrower.</w:t>
      </w:r>
    </w:p>
    <w:p w14:paraId="05F76C27" w14:textId="77777777" w:rsidR="00FD69F4" w:rsidRPr="00FD69F4" w:rsidRDefault="00FD69F4" w:rsidP="00FD6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Interest_Rate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Average interest rate on loans. Higher rates usually indicate higher perceived risk.</w:t>
      </w:r>
    </w:p>
    <w:p w14:paraId="7FFCC8D7" w14:textId="77777777" w:rsidR="00FD69F4" w:rsidRPr="00FD69F4" w:rsidRDefault="00FD69F4" w:rsidP="00FD6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Changed_Credit_Limit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Change in credit limit over time. Increases may signal trust; reductions may indicate risk.</w:t>
      </w:r>
    </w:p>
    <w:p w14:paraId="1FB1D48C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01185414">
          <v:rect id="_x0000_i1029" style="width:0;height:1.5pt" o:hralign="center" o:hrstd="t" o:hr="t" fillcolor="#a0a0a0" stroked="f"/>
        </w:pict>
      </w:r>
    </w:p>
    <w:p w14:paraId="0433BCD4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Repayment Behavior (Very Critical)</w:t>
      </w:r>
    </w:p>
    <w:p w14:paraId="4FDFCCCF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 xml:space="preserve">Among the </w:t>
      </w: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strongest predictors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t xml:space="preserve"> of credit score.</w:t>
      </w:r>
    </w:p>
    <w:p w14:paraId="57C0F917" w14:textId="77777777" w:rsidR="00FD69F4" w:rsidRPr="00FD69F4" w:rsidRDefault="00FD69F4" w:rsidP="00FD6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Delay_from_due_date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Average number of days payments are late. More delay = higher default risk.</w:t>
      </w:r>
    </w:p>
    <w:p w14:paraId="2120C3AB" w14:textId="77777777" w:rsidR="00FD69F4" w:rsidRPr="00FD69F4" w:rsidRDefault="00FD69F4" w:rsidP="00FD6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Num_of_Delayed_Payment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Count of delayed payments. Frequent delays strongly hurt credit score.</w:t>
      </w:r>
    </w:p>
    <w:p w14:paraId="00FF4893" w14:textId="77777777" w:rsidR="00FD69F4" w:rsidRPr="00FD69F4" w:rsidRDefault="00FD69F4" w:rsidP="00FD6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Payment_of_Min_Amount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Whether the customer pays only the minimum due. Paying minimums repeatedly signals financial stress.</w:t>
      </w:r>
    </w:p>
    <w:p w14:paraId="5C8FCD86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1D5E28A8">
          <v:rect id="_x0000_i1030" style="width:0;height:1.5pt" o:hralign="center" o:hrstd="t" o:hr="t" fillcolor="#a0a0a0" stroked="f"/>
        </w:pict>
      </w:r>
    </w:p>
    <w:p w14:paraId="13CC6846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Credit Seeking Behavior</w:t>
      </w:r>
    </w:p>
    <w:p w14:paraId="23C8F529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Shows dependency on credit.</w:t>
      </w:r>
    </w:p>
    <w:p w14:paraId="6F71F46B" w14:textId="77777777" w:rsidR="00FD69F4" w:rsidRPr="00FD69F4" w:rsidRDefault="00FD69F4" w:rsidP="00FD6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Num_Credit_Inquiries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Number of recent credit applications. Too many inquiries suggest credit hunger and risk.</w:t>
      </w:r>
    </w:p>
    <w:p w14:paraId="01BA9480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04A8103">
          <v:rect id="_x0000_i1031" style="width:0;height:1.5pt" o:hralign="center" o:hrstd="t" o:hr="t" fillcolor="#a0a0a0" stroked="f"/>
        </w:pict>
      </w:r>
    </w:p>
    <w:p w14:paraId="6DDFAE11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Credit Portfolio Quality</w:t>
      </w:r>
    </w:p>
    <w:p w14:paraId="3925AB87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Measures how well credit is diversified and managed.</w:t>
      </w:r>
    </w:p>
    <w:p w14:paraId="7532336E" w14:textId="77777777" w:rsidR="00FD69F4" w:rsidRPr="00FD69F4" w:rsidRDefault="00FD69F4" w:rsidP="00FD6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Credit_Mix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Combination of credit types (cards, loans, mortgage). A healthy mix improves scores.</w:t>
      </w:r>
    </w:p>
    <w:p w14:paraId="21EBF78D" w14:textId="77777777" w:rsidR="00FD69F4" w:rsidRPr="00FD69F4" w:rsidRDefault="00FD69F4" w:rsidP="00FD6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Credit_History_Age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Length of credit history. Longer history usually improves reliability and score.</w:t>
      </w:r>
    </w:p>
    <w:p w14:paraId="7484A7F9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0544161D">
          <v:rect id="_x0000_i1032" style="width:0;height:1.5pt" o:hralign="center" o:hrstd="t" o:hr="t" fillcolor="#a0a0a0" stroked="f"/>
        </w:pict>
      </w:r>
    </w:p>
    <w:p w14:paraId="202CEDCD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Debt &amp; Utilization</w:t>
      </w:r>
    </w:p>
    <w:p w14:paraId="76AB8C23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Key indicators of over-borrowing.</w:t>
      </w:r>
    </w:p>
    <w:p w14:paraId="2E2C2389" w14:textId="77777777" w:rsidR="00FD69F4" w:rsidRPr="00FD69F4" w:rsidRDefault="00FD69F4" w:rsidP="00FD6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Outstanding_Debt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Total unpaid debt. High debt increases default probability.</w:t>
      </w:r>
    </w:p>
    <w:p w14:paraId="6E5C0C51" w14:textId="77777777" w:rsidR="00FD69F4" w:rsidRPr="00FD69F4" w:rsidRDefault="00FD69F4" w:rsidP="00FD6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Credit_Utilization_Ratio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Percentage of available credit being used.</w:t>
      </w:r>
    </w:p>
    <w:p w14:paraId="5C517F8D" w14:textId="77777777" w:rsidR="00FD69F4" w:rsidRPr="00FD69F4" w:rsidRDefault="00FD69F4" w:rsidP="00FD69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Below 30% → good</w:t>
      </w:r>
    </w:p>
    <w:p w14:paraId="3D973571" w14:textId="77777777" w:rsidR="00FD69F4" w:rsidRPr="00FD69F4" w:rsidRDefault="00FD69F4" w:rsidP="00FD69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Above 50% → risky</w:t>
      </w:r>
    </w:p>
    <w:p w14:paraId="6CE9F522" w14:textId="77777777" w:rsidR="00FD69F4" w:rsidRPr="00FD69F4" w:rsidRDefault="00FD69F4" w:rsidP="00FD6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Total_EMI_per_month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Total monthly loan repayments. High EMI relative to income increases risk.</w:t>
      </w:r>
    </w:p>
    <w:p w14:paraId="666E0552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20111361">
          <v:rect id="_x0000_i1033" style="width:0;height:1.5pt" o:hralign="center" o:hrstd="t" o:hr="t" fillcolor="#a0a0a0" stroked="f"/>
        </w:pict>
      </w:r>
    </w:p>
    <w:p w14:paraId="25CF1141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Savings &amp; Financial Discipline</w:t>
      </w:r>
    </w:p>
    <w:p w14:paraId="13D5A4C3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Indicates financial planning ability.</w:t>
      </w:r>
    </w:p>
    <w:p w14:paraId="061E7E85" w14:textId="77777777" w:rsidR="00FD69F4" w:rsidRPr="00FD69F4" w:rsidRDefault="00FD69F4" w:rsidP="00FD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Amount_invested_monthly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Monthly investments/savings. Regular investing signals financial discipline.</w:t>
      </w:r>
    </w:p>
    <w:p w14:paraId="5AE87833" w14:textId="77777777" w:rsidR="00FD69F4" w:rsidRPr="00FD69F4" w:rsidRDefault="00FD69F4" w:rsidP="00FD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Monthly_Balance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Remaining balance after expenses and EMIs. Negative or low balance suggests cash-flow stress.</w:t>
      </w:r>
    </w:p>
    <w:p w14:paraId="23582C19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4A213698">
          <v:rect id="_x0000_i1034" style="width:0;height:1.5pt" o:hralign="center" o:hrstd="t" o:hr="t" fillcolor="#a0a0a0" stroked="f"/>
        </w:pict>
      </w:r>
    </w:p>
    <w:p w14:paraId="08A08052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Spending Behavior</w:t>
      </w:r>
    </w:p>
    <w:p w14:paraId="106776F9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Used for behavioral risk modeling.</w:t>
      </w:r>
    </w:p>
    <w:p w14:paraId="6C4BF63C" w14:textId="77777777" w:rsidR="00FD69F4" w:rsidRPr="00FD69F4" w:rsidRDefault="00FD69F4" w:rsidP="00FD69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Payment_Behaviour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>Pattern of spending vs saving (e.g., high-spend/low-save). Riskier behavior lowers score.</w:t>
      </w:r>
    </w:p>
    <w:p w14:paraId="39325C73" w14:textId="77777777" w:rsidR="00FD69F4" w:rsidRPr="00FD69F4" w:rsidRDefault="00FD69F4" w:rsidP="00FD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pict w14:anchorId="7738548F">
          <v:rect id="_x0000_i1035" style="width:0;height:1.5pt" o:hralign="center" o:hrstd="t" o:hr="t" fillcolor="#a0a0a0" stroked="f"/>
        </w:pict>
      </w:r>
    </w:p>
    <w:p w14:paraId="5C117CF8" w14:textId="77777777" w:rsidR="00FD69F4" w:rsidRPr="00FD69F4" w:rsidRDefault="00FD69F4" w:rsidP="00FD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F4">
        <w:rPr>
          <w:rFonts w:ascii="Times New Roman" w:eastAsia="Times New Roman" w:hAnsi="Times New Roman" w:cs="Times New Roman"/>
          <w:b/>
          <w:bCs/>
          <w:sz w:val="36"/>
          <w:szCs w:val="36"/>
        </w:rPr>
        <w:t>Target Variable</w:t>
      </w:r>
    </w:p>
    <w:p w14:paraId="25F42417" w14:textId="77777777" w:rsidR="00FD69F4" w:rsidRPr="00FD69F4" w:rsidRDefault="00FD69F4" w:rsidP="00FD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F4">
        <w:rPr>
          <w:rFonts w:ascii="Times New Roman" w:eastAsia="Times New Roman" w:hAnsi="Times New Roman" w:cs="Times New Roman"/>
          <w:sz w:val="24"/>
          <w:szCs w:val="24"/>
        </w:rPr>
        <w:t>What the bank ultimately predicts.</w:t>
      </w:r>
    </w:p>
    <w:p w14:paraId="221952B6" w14:textId="77777777" w:rsidR="00FD69F4" w:rsidRPr="00FD69F4" w:rsidRDefault="00FD69F4" w:rsidP="00FD6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Credit_Score</w:t>
      </w:r>
      <w:proofErr w:type="spellEnd"/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 xml:space="preserve">Final credit rating (e.g., </w:t>
      </w:r>
      <w:r w:rsidRPr="00FD69F4">
        <w:rPr>
          <w:rFonts w:ascii="Times New Roman" w:eastAsia="Times New Roman" w:hAnsi="Times New Roman" w:cs="Times New Roman"/>
          <w:i/>
          <w:iCs/>
          <w:sz w:val="24"/>
          <w:szCs w:val="24"/>
        </w:rPr>
        <w:t>Poor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69F4">
        <w:rPr>
          <w:rFonts w:ascii="Times New Roman" w:eastAsia="Times New Roman" w:hAnsi="Times New Roman" w:cs="Times New Roman"/>
          <w:i/>
          <w:iCs/>
          <w:sz w:val="24"/>
          <w:szCs w:val="24"/>
        </w:rPr>
        <w:t>Standard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69F4">
        <w:rPr>
          <w:rFonts w:ascii="Times New Roman" w:eastAsia="Times New Roman" w:hAnsi="Times New Roman" w:cs="Times New Roman"/>
          <w:i/>
          <w:iCs/>
          <w:sz w:val="24"/>
          <w:szCs w:val="24"/>
        </w:rPr>
        <w:t>Good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the </w:t>
      </w:r>
      <w:r w:rsidRPr="00FD69F4">
        <w:rPr>
          <w:rFonts w:ascii="Times New Roman" w:eastAsia="Times New Roman" w:hAnsi="Times New Roman" w:cs="Times New Roman"/>
          <w:b/>
          <w:bCs/>
          <w:sz w:val="24"/>
          <w:szCs w:val="24"/>
        </w:rPr>
        <w:t>outcome variable</w:t>
      </w:r>
      <w:r w:rsidRPr="00FD69F4">
        <w:rPr>
          <w:rFonts w:ascii="Times New Roman" w:eastAsia="Times New Roman" w:hAnsi="Times New Roman" w:cs="Times New Roman"/>
          <w:sz w:val="24"/>
          <w:szCs w:val="24"/>
        </w:rPr>
        <w:t xml:space="preserve"> used to train credit-scoring models.</w:t>
      </w:r>
    </w:p>
    <w:p w14:paraId="5DD45368" w14:textId="77777777" w:rsidR="00907E50" w:rsidRDefault="00907E50">
      <w:bookmarkStart w:id="0" w:name="_GoBack"/>
      <w:bookmarkEnd w:id="0"/>
    </w:p>
    <w:sectPr w:rsidR="00907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26B13"/>
    <w:multiLevelType w:val="multilevel"/>
    <w:tmpl w:val="23AE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504AF"/>
    <w:multiLevelType w:val="multilevel"/>
    <w:tmpl w:val="97D2C0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96B46"/>
    <w:multiLevelType w:val="multilevel"/>
    <w:tmpl w:val="4BA208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21024"/>
    <w:multiLevelType w:val="multilevel"/>
    <w:tmpl w:val="BEA667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12487"/>
    <w:multiLevelType w:val="multilevel"/>
    <w:tmpl w:val="0E9A71D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23896"/>
    <w:multiLevelType w:val="multilevel"/>
    <w:tmpl w:val="2DFA38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128B2"/>
    <w:multiLevelType w:val="multilevel"/>
    <w:tmpl w:val="CC50D05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04408"/>
    <w:multiLevelType w:val="multilevel"/>
    <w:tmpl w:val="3DE850B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03198"/>
    <w:multiLevelType w:val="multilevel"/>
    <w:tmpl w:val="B76E77E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034B9"/>
    <w:multiLevelType w:val="multilevel"/>
    <w:tmpl w:val="C226B5B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8412E"/>
    <w:multiLevelType w:val="multilevel"/>
    <w:tmpl w:val="7F7C4F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1D4859"/>
    <w:multiLevelType w:val="multilevel"/>
    <w:tmpl w:val="710E9D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5"/>
  </w:num>
  <w:num w:numId="6">
    <w:abstractNumId w:val="10"/>
  </w:num>
  <w:num w:numId="7">
    <w:abstractNumId w:val="8"/>
  </w:num>
  <w:num w:numId="8">
    <w:abstractNumId w:val="6"/>
  </w:num>
  <w:num w:numId="9">
    <w:abstractNumId w:val="9"/>
  </w:num>
  <w:num w:numId="10">
    <w:abstractNumId w:val="3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16"/>
    <w:rsid w:val="00900916"/>
    <w:rsid w:val="00907E50"/>
    <w:rsid w:val="00FD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800AA-34E2-4D55-A9F5-82CCEF12D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9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69F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D6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69F4"/>
    <w:rPr>
      <w:b/>
      <w:bCs/>
    </w:rPr>
  </w:style>
  <w:style w:type="character" w:styleId="Emphasis">
    <w:name w:val="Emphasis"/>
    <w:basedOn w:val="DefaultParagraphFont"/>
    <w:uiPriority w:val="20"/>
    <w:qFormat/>
    <w:rsid w:val="00FD69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1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Hillary Kaluuma</dc:creator>
  <cp:keywords/>
  <dc:description/>
  <cp:lastModifiedBy>Hillary Kaluuma</cp:lastModifiedBy>
  <cp:revision>2</cp:revision>
  <dcterms:created xsi:type="dcterms:W3CDTF">2026-02-03T05:07:00Z</dcterms:created>
  <dcterms:modified xsi:type="dcterms:W3CDTF">2026-02-03T05:07:00Z</dcterms:modified>
</cp:coreProperties>
</file>