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91A4A" w14:textId="77777777" w:rsidR="008B4C27" w:rsidRDefault="007C7E37" w:rsidP="001C3D7A">
      <w:pPr>
        <w:rPr>
          <w:rFonts w:ascii="Times New Roman" w:eastAsia="Times New Roman" w:hAnsi="Times New Roman"/>
          <w:b/>
          <w:color w:val="000000"/>
        </w:rPr>
      </w:pPr>
      <w:r>
        <w:rPr>
          <w:rFonts w:ascii="Times New Roman" w:eastAsia="Times New Roman" w:hAnsi="Times New Roman"/>
          <w:b/>
          <w:color w:val="000000"/>
        </w:rPr>
        <w:t xml:space="preserve">Predicting </w:t>
      </w:r>
      <w:r w:rsidR="006636D3">
        <w:rPr>
          <w:rFonts w:ascii="Times New Roman" w:eastAsia="Times New Roman" w:hAnsi="Times New Roman"/>
          <w:b/>
          <w:color w:val="000000"/>
        </w:rPr>
        <w:t xml:space="preserve">Primary and Secondary Adherence to </w:t>
      </w:r>
      <w:r w:rsidR="009D3BD3">
        <w:rPr>
          <w:rFonts w:ascii="Times New Roman" w:eastAsia="Times New Roman" w:hAnsi="Times New Roman"/>
          <w:b/>
          <w:color w:val="000000"/>
        </w:rPr>
        <w:t>RA Treatment: Revised Protocol</w:t>
      </w:r>
    </w:p>
    <w:p w14:paraId="489276F4" w14:textId="77777777" w:rsidR="006636D3" w:rsidRPr="005C0C0C" w:rsidRDefault="006636D3" w:rsidP="001C3D7A">
      <w:pPr>
        <w:rPr>
          <w:rFonts w:ascii="Times New Roman" w:eastAsia="Times New Roman" w:hAnsi="Times New Roman"/>
          <w:color w:val="000000"/>
        </w:rPr>
      </w:pPr>
    </w:p>
    <w:p w14:paraId="35EA4209" w14:textId="4FAB82BC" w:rsidR="0047088E" w:rsidRPr="005C0C0C" w:rsidRDefault="001F453C" w:rsidP="001C3D7A">
      <w:pPr>
        <w:rPr>
          <w:rFonts w:ascii="Times New Roman" w:eastAsia="Times New Roman" w:hAnsi="Times New Roman"/>
          <w:color w:val="000000"/>
        </w:rPr>
      </w:pPr>
      <w:r w:rsidRPr="005C0C0C">
        <w:rPr>
          <w:rFonts w:ascii="Times New Roman" w:eastAsia="Times New Roman" w:hAnsi="Times New Roman"/>
          <w:color w:val="000000"/>
        </w:rPr>
        <w:t xml:space="preserve">A </w:t>
      </w:r>
      <w:r w:rsidR="0047088E" w:rsidRPr="005C0C0C">
        <w:rPr>
          <w:rFonts w:ascii="Times New Roman" w:eastAsia="Times New Roman" w:hAnsi="Times New Roman"/>
          <w:color w:val="000000"/>
        </w:rPr>
        <w:t xml:space="preserve">Joint Academic </w:t>
      </w:r>
      <w:r w:rsidR="00652B52" w:rsidRPr="005C0C0C">
        <w:rPr>
          <w:rFonts w:ascii="Times New Roman" w:eastAsia="Times New Roman" w:hAnsi="Times New Roman"/>
          <w:color w:val="000000"/>
        </w:rPr>
        <w:t xml:space="preserve">and </w:t>
      </w:r>
      <w:r w:rsidR="0047088E" w:rsidRPr="005C0C0C">
        <w:rPr>
          <w:rFonts w:ascii="Times New Roman" w:eastAsia="Times New Roman" w:hAnsi="Times New Roman"/>
          <w:color w:val="000000"/>
        </w:rPr>
        <w:t>Industry team of JHU, UAB</w:t>
      </w:r>
      <w:r w:rsidR="00346BF4">
        <w:rPr>
          <w:rFonts w:ascii="Times New Roman" w:eastAsia="Times New Roman" w:hAnsi="Times New Roman"/>
          <w:color w:val="000000"/>
        </w:rPr>
        <w:t>,</w:t>
      </w:r>
      <w:r w:rsidR="0047088E" w:rsidRPr="005C0C0C">
        <w:rPr>
          <w:rFonts w:ascii="Times New Roman" w:eastAsia="Times New Roman" w:hAnsi="Times New Roman"/>
          <w:color w:val="000000"/>
        </w:rPr>
        <w:t xml:space="preserve"> and Sun Pharmaceutical</w:t>
      </w:r>
    </w:p>
    <w:p w14:paraId="76F43379" w14:textId="77777777" w:rsidR="00652B52" w:rsidRPr="005C0C0C" w:rsidRDefault="00652B52" w:rsidP="001C3D7A">
      <w:pPr>
        <w:rPr>
          <w:rFonts w:ascii="Times New Roman" w:eastAsia="Times New Roman" w:hAnsi="Times New Roman"/>
          <w:color w:val="000000"/>
        </w:rPr>
      </w:pPr>
    </w:p>
    <w:p w14:paraId="575D3D54" w14:textId="77777777" w:rsidR="00F84318" w:rsidRPr="005C0C0C" w:rsidRDefault="00F84318" w:rsidP="00F84318">
      <w:pPr>
        <w:rPr>
          <w:rFonts w:ascii="Times New Roman" w:eastAsia="Times New Roman" w:hAnsi="Times New Roman"/>
          <w:color w:val="000000"/>
        </w:rPr>
      </w:pPr>
      <w:r w:rsidRPr="005C0C0C">
        <w:rPr>
          <w:rFonts w:ascii="Times New Roman" w:eastAsia="Times New Roman" w:hAnsi="Times New Roman"/>
          <w:color w:val="000000"/>
        </w:rPr>
        <w:t xml:space="preserve">University of Alabama at Birmingham: Jeffrey R. Curtis, MD, MS, MPH, </w:t>
      </w:r>
    </w:p>
    <w:p w14:paraId="2467B4A5" w14:textId="77777777" w:rsidR="00F84318" w:rsidRDefault="00F84318" w:rsidP="001C3D7A">
      <w:pPr>
        <w:rPr>
          <w:rFonts w:ascii="Times New Roman" w:eastAsia="Times New Roman" w:hAnsi="Times New Roman"/>
          <w:color w:val="000000"/>
        </w:rPr>
      </w:pPr>
      <w:r w:rsidRPr="005C0C0C">
        <w:rPr>
          <w:rFonts w:ascii="Times New Roman" w:eastAsia="Times New Roman" w:hAnsi="Times New Roman"/>
          <w:color w:val="000000"/>
        </w:rPr>
        <w:t xml:space="preserve">Sun Pharmaceutical team member: Charles </w:t>
      </w:r>
      <w:proofErr w:type="spellStart"/>
      <w:r w:rsidRPr="005C0C0C">
        <w:rPr>
          <w:rFonts w:ascii="Times New Roman" w:eastAsia="Times New Roman" w:hAnsi="Times New Roman"/>
          <w:color w:val="000000"/>
        </w:rPr>
        <w:t>Molta</w:t>
      </w:r>
      <w:proofErr w:type="spellEnd"/>
      <w:r w:rsidRPr="005C0C0C">
        <w:rPr>
          <w:rFonts w:ascii="Times New Roman" w:eastAsia="Times New Roman" w:hAnsi="Times New Roman"/>
          <w:color w:val="000000"/>
        </w:rPr>
        <w:t xml:space="preserve">, MD </w:t>
      </w:r>
    </w:p>
    <w:p w14:paraId="1167B1DB" w14:textId="3989EEB7" w:rsidR="00652B52" w:rsidRPr="005C0C0C" w:rsidRDefault="00652B52" w:rsidP="001C3D7A">
      <w:pPr>
        <w:rPr>
          <w:rFonts w:ascii="Times New Roman" w:eastAsia="Times New Roman" w:hAnsi="Times New Roman"/>
          <w:color w:val="000000"/>
        </w:rPr>
      </w:pPr>
      <w:r w:rsidRPr="005C0C0C">
        <w:rPr>
          <w:rFonts w:ascii="Times New Roman" w:eastAsia="Times New Roman" w:hAnsi="Times New Roman"/>
          <w:color w:val="000000"/>
        </w:rPr>
        <w:t>J</w:t>
      </w:r>
      <w:r w:rsidR="00DD77A4" w:rsidRPr="005C0C0C">
        <w:rPr>
          <w:rFonts w:ascii="Times New Roman" w:eastAsia="Times New Roman" w:hAnsi="Times New Roman"/>
          <w:color w:val="000000"/>
        </w:rPr>
        <w:t>HU</w:t>
      </w:r>
      <w:r w:rsidRPr="005C0C0C">
        <w:rPr>
          <w:rFonts w:ascii="Times New Roman" w:eastAsia="Times New Roman" w:hAnsi="Times New Roman"/>
          <w:color w:val="000000"/>
        </w:rPr>
        <w:t xml:space="preserve"> team members: Hong J. Kan, </w:t>
      </w:r>
      <w:r w:rsidR="00504816" w:rsidRPr="005C0C0C">
        <w:rPr>
          <w:rFonts w:ascii="Times New Roman" w:eastAsia="Times New Roman" w:hAnsi="Times New Roman"/>
          <w:color w:val="000000"/>
        </w:rPr>
        <w:t xml:space="preserve">PhD, </w:t>
      </w:r>
      <w:r w:rsidRPr="005C0C0C">
        <w:rPr>
          <w:rFonts w:ascii="Times New Roman" w:eastAsia="Times New Roman" w:hAnsi="Times New Roman"/>
          <w:color w:val="000000"/>
        </w:rPr>
        <w:t>Kirill Dyagilev,</w:t>
      </w:r>
      <w:r w:rsidR="00504816" w:rsidRPr="005C0C0C">
        <w:rPr>
          <w:rFonts w:ascii="Times New Roman" w:eastAsia="Times New Roman" w:hAnsi="Times New Roman"/>
          <w:color w:val="000000"/>
        </w:rPr>
        <w:t xml:space="preserve"> PhD,</w:t>
      </w:r>
      <w:r w:rsidRPr="005C0C0C">
        <w:rPr>
          <w:rFonts w:ascii="Times New Roman" w:eastAsia="Times New Roman" w:hAnsi="Times New Roman"/>
          <w:color w:val="000000"/>
        </w:rPr>
        <w:t xml:space="preserve"> Peter Schulam, </w:t>
      </w:r>
      <w:r w:rsidR="009D3BD3">
        <w:rPr>
          <w:rFonts w:ascii="Times New Roman" w:eastAsia="Times New Roman" w:hAnsi="Times New Roman"/>
          <w:color w:val="000000"/>
        </w:rPr>
        <w:t xml:space="preserve">MS, </w:t>
      </w:r>
      <w:r w:rsidRPr="005C0C0C">
        <w:rPr>
          <w:rFonts w:ascii="Times New Roman" w:eastAsia="Times New Roman" w:hAnsi="Times New Roman"/>
          <w:color w:val="000000"/>
        </w:rPr>
        <w:t>Suchi Saria</w:t>
      </w:r>
      <w:r w:rsidR="00504816" w:rsidRPr="005C0C0C">
        <w:rPr>
          <w:rFonts w:ascii="Times New Roman" w:eastAsia="Times New Roman" w:hAnsi="Times New Roman"/>
          <w:color w:val="000000"/>
        </w:rPr>
        <w:t>, PhD</w:t>
      </w:r>
    </w:p>
    <w:p w14:paraId="6F0152CF" w14:textId="77777777" w:rsidR="00504816" w:rsidRPr="005C0C0C" w:rsidRDefault="00504816" w:rsidP="001C3D7A">
      <w:pPr>
        <w:rPr>
          <w:rFonts w:ascii="Times New Roman" w:eastAsia="Times New Roman" w:hAnsi="Times New Roman"/>
          <w:color w:val="000000"/>
        </w:rPr>
      </w:pPr>
    </w:p>
    <w:p w14:paraId="20D2CF2E" w14:textId="77777777" w:rsidR="00D4537E" w:rsidRPr="001C3D7A" w:rsidRDefault="00D4537E" w:rsidP="00D4537E">
      <w:pPr>
        <w:rPr>
          <w:rFonts w:ascii="Times New Roman" w:eastAsia="Times New Roman" w:hAnsi="Times New Roman"/>
          <w:b/>
        </w:rPr>
      </w:pPr>
      <w:r w:rsidRPr="001C3D7A">
        <w:rPr>
          <w:rFonts w:ascii="Times New Roman" w:eastAsia="Times New Roman" w:hAnsi="Times New Roman"/>
          <w:b/>
          <w:color w:val="000000"/>
        </w:rPr>
        <w:t>Introduction</w:t>
      </w:r>
    </w:p>
    <w:p w14:paraId="5262EB8E" w14:textId="77777777" w:rsidR="00D4537E" w:rsidRPr="001C3D7A" w:rsidRDefault="00D4537E" w:rsidP="00D4537E">
      <w:pPr>
        <w:rPr>
          <w:rFonts w:ascii="Times New Roman" w:eastAsia="Times New Roman" w:hAnsi="Times New Roman"/>
        </w:rPr>
      </w:pPr>
    </w:p>
    <w:p w14:paraId="37F38A3E" w14:textId="77777777" w:rsidR="00D4537E" w:rsidRPr="001C3D7A" w:rsidRDefault="00D4537E" w:rsidP="00D4537E">
      <w:pPr>
        <w:rPr>
          <w:rFonts w:ascii="Times New Roman" w:eastAsia="Times New Roman" w:hAnsi="Times New Roman"/>
        </w:rPr>
      </w:pPr>
      <w:r w:rsidRPr="001C3D7A">
        <w:rPr>
          <w:rFonts w:ascii="Times New Roman" w:eastAsia="Times New Roman" w:hAnsi="Times New Roman"/>
          <w:color w:val="000000"/>
        </w:rPr>
        <w:t xml:space="preserve">Rheumatoid arthritis is a chronic autoimmune disease that affects 1.3 million adult patients in </w:t>
      </w:r>
      <w:r>
        <w:rPr>
          <w:rFonts w:ascii="Times New Roman" w:eastAsia="Times New Roman" w:hAnsi="Times New Roman"/>
          <w:color w:val="000000"/>
        </w:rPr>
        <w:t xml:space="preserve">the </w:t>
      </w:r>
      <w:r w:rsidRPr="001C3D7A">
        <w:rPr>
          <w:rFonts w:ascii="Times New Roman" w:eastAsia="Times New Roman" w:hAnsi="Times New Roman"/>
          <w:color w:val="000000"/>
        </w:rPr>
        <w:t xml:space="preserve">U.S. Available therapies for RA include NSAIDs, </w:t>
      </w:r>
      <w:r>
        <w:rPr>
          <w:rFonts w:ascii="Times New Roman" w:eastAsia="Times New Roman" w:hAnsi="Times New Roman"/>
          <w:color w:val="000000"/>
        </w:rPr>
        <w:t>glucocorticoids</w:t>
      </w:r>
      <w:r w:rsidRPr="001C3D7A">
        <w:rPr>
          <w:rFonts w:ascii="Times New Roman" w:eastAsia="Times New Roman" w:hAnsi="Times New Roman"/>
          <w:color w:val="000000"/>
        </w:rPr>
        <w:t>, conventional D</w:t>
      </w:r>
      <w:r>
        <w:rPr>
          <w:rFonts w:ascii="Times New Roman" w:eastAsia="Times New Roman" w:hAnsi="Times New Roman"/>
          <w:color w:val="000000"/>
        </w:rPr>
        <w:t>isease Modifying Anti-Rheumatic Drugs [D</w:t>
      </w:r>
      <w:r w:rsidRPr="001C3D7A">
        <w:rPr>
          <w:rFonts w:ascii="Times New Roman" w:eastAsia="Times New Roman" w:hAnsi="Times New Roman"/>
          <w:color w:val="000000"/>
        </w:rPr>
        <w:t>MARDs</w:t>
      </w:r>
      <w:r>
        <w:rPr>
          <w:rFonts w:ascii="Times New Roman" w:eastAsia="Times New Roman" w:hAnsi="Times New Roman"/>
          <w:color w:val="000000"/>
        </w:rPr>
        <w:t>]</w:t>
      </w:r>
      <w:r w:rsidRPr="001C3D7A">
        <w:rPr>
          <w:rFonts w:ascii="Times New Roman" w:eastAsia="Times New Roman" w:hAnsi="Times New Roman"/>
          <w:color w:val="000000"/>
        </w:rPr>
        <w:t xml:space="preserve"> (hydroxychloroquine, </w:t>
      </w:r>
      <w:proofErr w:type="spellStart"/>
      <w:r w:rsidRPr="001C3D7A">
        <w:rPr>
          <w:rFonts w:ascii="Times New Roman" w:eastAsia="Times New Roman" w:hAnsi="Times New Roman"/>
          <w:color w:val="000000"/>
        </w:rPr>
        <w:t>leflunomide</w:t>
      </w:r>
      <w:proofErr w:type="spellEnd"/>
      <w:r w:rsidRPr="001C3D7A">
        <w:rPr>
          <w:rFonts w:ascii="Times New Roman" w:eastAsia="Times New Roman" w:hAnsi="Times New Roman"/>
          <w:color w:val="000000"/>
        </w:rPr>
        <w:t xml:space="preserve">, methotrexate, and sulfasalazine), biologic DMARDs (anti-TNFs: adalimumab, </w:t>
      </w:r>
      <w:proofErr w:type="spellStart"/>
      <w:r w:rsidRPr="001C3D7A">
        <w:rPr>
          <w:rFonts w:ascii="Times New Roman" w:eastAsia="Times New Roman" w:hAnsi="Times New Roman"/>
          <w:color w:val="000000"/>
        </w:rPr>
        <w:t>certolizumab</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etanercept</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golimumab</w:t>
      </w:r>
      <w:proofErr w:type="spellEnd"/>
      <w:r w:rsidRPr="001C3D7A">
        <w:rPr>
          <w:rFonts w:ascii="Times New Roman" w:eastAsia="Times New Roman" w:hAnsi="Times New Roman"/>
          <w:color w:val="000000"/>
        </w:rPr>
        <w:t xml:space="preserve">, infliximab; others: </w:t>
      </w:r>
      <w:proofErr w:type="spellStart"/>
      <w:r w:rsidRPr="001C3D7A">
        <w:rPr>
          <w:rFonts w:ascii="Times New Roman" w:eastAsia="Times New Roman" w:hAnsi="Times New Roman"/>
          <w:color w:val="000000"/>
        </w:rPr>
        <w:t>abatacept</w:t>
      </w:r>
      <w:proofErr w:type="spellEnd"/>
      <w:r w:rsidRPr="001C3D7A">
        <w:rPr>
          <w:rFonts w:ascii="Times New Roman" w:eastAsia="Times New Roman" w:hAnsi="Times New Roman"/>
          <w:color w:val="000000"/>
        </w:rPr>
        <w:t xml:space="preserve">, </w:t>
      </w:r>
      <w:proofErr w:type="spellStart"/>
      <w:r w:rsidRPr="001C3D7A">
        <w:rPr>
          <w:rFonts w:ascii="Times New Roman" w:eastAsia="Times New Roman" w:hAnsi="Times New Roman"/>
          <w:color w:val="000000"/>
        </w:rPr>
        <w:t>anakinra</w:t>
      </w:r>
      <w:proofErr w:type="spellEnd"/>
      <w:r w:rsidRPr="001C3D7A">
        <w:rPr>
          <w:rFonts w:ascii="Times New Roman" w:eastAsia="Times New Roman" w:hAnsi="Times New Roman"/>
          <w:color w:val="000000"/>
        </w:rPr>
        <w:t>, rituximab, tocilizumab</w:t>
      </w:r>
      <w:r>
        <w:rPr>
          <w:rFonts w:ascii="Times New Roman" w:eastAsia="Times New Roman" w:hAnsi="Times New Roman"/>
          <w:color w:val="000000"/>
        </w:rPr>
        <w:t xml:space="preserve">), </w:t>
      </w:r>
      <w:r w:rsidRPr="001C3D7A">
        <w:rPr>
          <w:rFonts w:ascii="Times New Roman" w:eastAsia="Times New Roman" w:hAnsi="Times New Roman"/>
          <w:color w:val="000000"/>
        </w:rPr>
        <w:t xml:space="preserve">and </w:t>
      </w:r>
      <w:r>
        <w:rPr>
          <w:rFonts w:ascii="Times New Roman" w:eastAsia="Times New Roman" w:hAnsi="Times New Roman"/>
          <w:color w:val="000000"/>
        </w:rPr>
        <w:t>newer synthetic DMARDs (</w:t>
      </w:r>
      <w:proofErr w:type="spellStart"/>
      <w:r w:rsidRPr="001C3D7A">
        <w:rPr>
          <w:rFonts w:ascii="Times New Roman" w:eastAsia="Times New Roman" w:hAnsi="Times New Roman"/>
          <w:color w:val="000000"/>
        </w:rPr>
        <w:t>tofacitinib</w:t>
      </w:r>
      <w:proofErr w:type="spellEnd"/>
      <w:r w:rsidRPr="001C3D7A">
        <w:rPr>
          <w:rFonts w:ascii="Times New Roman" w:eastAsia="Times New Roman" w:hAnsi="Times New Roman"/>
          <w:color w:val="000000"/>
        </w:rPr>
        <w:t xml:space="preserve"> citrate).  </w:t>
      </w:r>
    </w:p>
    <w:p w14:paraId="150B3655" w14:textId="77777777" w:rsidR="00D4537E" w:rsidRPr="00662572" w:rsidRDefault="00D4537E" w:rsidP="00D4537E">
      <w:pPr>
        <w:tabs>
          <w:tab w:val="left" w:pos="2064"/>
          <w:tab w:val="center" w:pos="4680"/>
        </w:tabs>
        <w:rPr>
          <w:rFonts w:ascii="Times New Roman" w:eastAsia="Times New Roman" w:hAnsi="Times New Roman"/>
          <w:color w:val="000000"/>
        </w:rPr>
      </w:pPr>
      <w:r w:rsidRPr="00662572">
        <w:rPr>
          <w:rFonts w:ascii="Times New Roman" w:eastAsia="Times New Roman" w:hAnsi="Times New Roman"/>
        </w:rPr>
        <w:tab/>
      </w:r>
      <w:r>
        <w:rPr>
          <w:rFonts w:ascii="Times New Roman" w:eastAsia="Times New Roman" w:hAnsi="Times New Roman"/>
        </w:rPr>
        <w:tab/>
      </w:r>
      <w:r w:rsidRPr="00662572">
        <w:rPr>
          <w:rFonts w:ascii="Times New Roman" w:eastAsia="Times New Roman" w:hAnsi="Times New Roman"/>
        </w:rPr>
        <w:br/>
      </w:r>
      <w:r w:rsidRPr="00662572">
        <w:rPr>
          <w:rFonts w:ascii="Times New Roman" w:eastAsia="Times New Roman" w:hAnsi="Times New Roman"/>
          <w:color w:val="000000"/>
        </w:rPr>
        <w:t>Inflammatory conditions, such as rheumatoid arthritis, continue to rank as the costliest specialty therapy class.</w:t>
      </w:r>
      <w:r w:rsidRPr="00662572">
        <w:rPr>
          <w:rStyle w:val="FootnoteReference"/>
          <w:rFonts w:ascii="Times New Roman" w:eastAsia="Times New Roman" w:hAnsi="Times New Roman"/>
          <w:color w:val="000000"/>
        </w:rPr>
        <w:footnoteReference w:id="1"/>
      </w:r>
      <w:r w:rsidRPr="00662572">
        <w:rPr>
          <w:rFonts w:ascii="Times New Roman" w:eastAsia="Times New Roman" w:hAnsi="Times New Roman"/>
          <w:color w:val="000000"/>
        </w:rPr>
        <w:t xml:space="preserve"> </w:t>
      </w:r>
      <w:r>
        <w:rPr>
          <w:rFonts w:ascii="Times New Roman" w:eastAsia="Times New Roman" w:hAnsi="Times New Roman"/>
          <w:color w:val="000000"/>
        </w:rPr>
        <w:t>Adherence</w:t>
      </w:r>
      <w:r w:rsidRPr="00662572">
        <w:rPr>
          <w:rFonts w:ascii="Times New Roman" w:eastAsia="Times New Roman" w:hAnsi="Times New Roman"/>
          <w:color w:val="000000"/>
        </w:rPr>
        <w:t xml:space="preserve"> serves </w:t>
      </w:r>
      <w:r>
        <w:rPr>
          <w:rFonts w:ascii="Times New Roman" w:eastAsia="Times New Roman" w:hAnsi="Times New Roman"/>
          <w:color w:val="000000"/>
        </w:rPr>
        <w:t xml:space="preserve">both </w:t>
      </w:r>
      <w:r w:rsidRPr="00662572">
        <w:rPr>
          <w:rFonts w:ascii="Times New Roman" w:eastAsia="Times New Roman" w:hAnsi="Times New Roman"/>
          <w:color w:val="000000"/>
        </w:rPr>
        <w:t xml:space="preserve">as a goal for treatment improvement and as an overall </w:t>
      </w:r>
      <w:r>
        <w:rPr>
          <w:rFonts w:ascii="Times New Roman" w:eastAsia="Times New Roman" w:hAnsi="Times New Roman"/>
          <w:color w:val="000000"/>
        </w:rPr>
        <w:t>measure of effective drug use in as much as it is a mediator of drug effectiveness in the short term, and it is a requirement for optimizing long term outcomes</w:t>
      </w:r>
      <w:r w:rsidRPr="00662572">
        <w:rPr>
          <w:rFonts w:ascii="Times New Roman" w:eastAsia="Times New Roman" w:hAnsi="Times New Roman"/>
          <w:color w:val="000000"/>
        </w:rPr>
        <w:t>.</w:t>
      </w:r>
    </w:p>
    <w:p w14:paraId="6A300B21" w14:textId="77777777" w:rsidR="00D4537E" w:rsidRPr="00662572" w:rsidRDefault="00D4537E" w:rsidP="00D4537E">
      <w:pPr>
        <w:rPr>
          <w:rFonts w:ascii="Times New Roman" w:eastAsia="Times New Roman" w:hAnsi="Times New Roman"/>
          <w:color w:val="000000"/>
        </w:rPr>
      </w:pPr>
    </w:p>
    <w:p w14:paraId="5027F04A" w14:textId="77777777" w:rsidR="00D4537E" w:rsidRDefault="005C0C0C" w:rsidP="00D4537E">
      <w:pPr>
        <w:rPr>
          <w:rFonts w:ascii="Times New Roman" w:eastAsia="Times New Roman" w:hAnsi="Times New Roman"/>
        </w:rPr>
      </w:pPr>
      <w:r>
        <w:rPr>
          <w:rFonts w:ascii="Times New Roman" w:eastAsia="Times New Roman" w:hAnsi="Times New Roman"/>
        </w:rPr>
        <w:t xml:space="preserve">We </w:t>
      </w:r>
      <w:r w:rsidR="00D4537E">
        <w:rPr>
          <w:rFonts w:ascii="Times New Roman" w:eastAsia="Times New Roman" w:hAnsi="Times New Roman"/>
        </w:rPr>
        <w:t xml:space="preserve">propose to focus on predicting two </w:t>
      </w:r>
      <w:r w:rsidR="00A83861">
        <w:rPr>
          <w:rFonts w:ascii="Times New Roman" w:eastAsia="Times New Roman" w:hAnsi="Times New Roman"/>
        </w:rPr>
        <w:t xml:space="preserve">adherence </w:t>
      </w:r>
      <w:r w:rsidR="00D4537E">
        <w:rPr>
          <w:rFonts w:ascii="Times New Roman" w:eastAsia="Times New Roman" w:hAnsi="Times New Roman"/>
        </w:rPr>
        <w:t>outcomes using</w:t>
      </w:r>
      <w:r w:rsidR="00A83861">
        <w:rPr>
          <w:rFonts w:ascii="Times New Roman" w:eastAsia="Times New Roman" w:hAnsi="Times New Roman"/>
        </w:rPr>
        <w:t xml:space="preserve"> integrated claims and EHR data:</w:t>
      </w:r>
    </w:p>
    <w:p w14:paraId="273A3807" w14:textId="77777777" w:rsidR="00D4537E" w:rsidRPr="0097786F" w:rsidRDefault="00D4537E" w:rsidP="00D4537E">
      <w:pPr>
        <w:pStyle w:val="ListParagraph"/>
        <w:numPr>
          <w:ilvl w:val="0"/>
          <w:numId w:val="5"/>
        </w:numPr>
        <w:rPr>
          <w:rFonts w:ascii="Times New Roman" w:eastAsia="Times New Roman" w:hAnsi="Times New Roman"/>
        </w:rPr>
      </w:pPr>
      <w:r w:rsidRPr="0097786F">
        <w:rPr>
          <w:rFonts w:ascii="Times New Roman" w:eastAsia="Times New Roman" w:hAnsi="Times New Roman"/>
        </w:rPr>
        <w:t xml:space="preserve">First, </w:t>
      </w:r>
      <w:r>
        <w:rPr>
          <w:rFonts w:ascii="Times New Roman" w:eastAsia="Times New Roman" w:hAnsi="Times New Roman"/>
        </w:rPr>
        <w:t>estimate</w:t>
      </w:r>
      <w:r w:rsidRPr="0097786F">
        <w:rPr>
          <w:rFonts w:ascii="Times New Roman" w:eastAsia="Times New Roman" w:hAnsi="Times New Roman"/>
        </w:rPr>
        <w:t xml:space="preserve"> predictors for </w:t>
      </w:r>
      <w:r w:rsidR="00A83861">
        <w:rPr>
          <w:rFonts w:ascii="Times New Roman" w:eastAsia="Times New Roman" w:hAnsi="Times New Roman"/>
        </w:rPr>
        <w:t>“primary non-adherence”</w:t>
      </w:r>
      <w:r>
        <w:rPr>
          <w:rFonts w:ascii="Times New Roman" w:eastAsia="Times New Roman" w:hAnsi="Times New Roman"/>
        </w:rPr>
        <w:t xml:space="preserve"> to </w:t>
      </w:r>
      <w:r w:rsidRPr="0097786F">
        <w:rPr>
          <w:rFonts w:ascii="Times New Roman" w:eastAsia="Times New Roman" w:hAnsi="Times New Roman"/>
        </w:rPr>
        <w:t>new RA prescriptions</w:t>
      </w:r>
      <w:r w:rsidR="00A83861">
        <w:rPr>
          <w:rFonts w:ascii="Times New Roman" w:eastAsia="Times New Roman" w:hAnsi="Times New Roman"/>
        </w:rPr>
        <w:t>, defined as</w:t>
      </w:r>
      <w:r>
        <w:rPr>
          <w:rFonts w:ascii="Times New Roman" w:eastAsia="Times New Roman" w:hAnsi="Times New Roman"/>
        </w:rPr>
        <w:t xml:space="preserve"> prescriptions for RA medications</w:t>
      </w:r>
      <w:r w:rsidRPr="0097786F">
        <w:rPr>
          <w:rFonts w:ascii="Times New Roman" w:eastAsia="Times New Roman" w:hAnsi="Times New Roman"/>
        </w:rPr>
        <w:t xml:space="preserve"> </w:t>
      </w:r>
      <w:r>
        <w:rPr>
          <w:rFonts w:ascii="Times New Roman" w:eastAsia="Times New Roman" w:hAnsi="Times New Roman"/>
        </w:rPr>
        <w:t xml:space="preserve">that are written by a clinician, but </w:t>
      </w:r>
      <w:r w:rsidRPr="0097786F">
        <w:rPr>
          <w:rFonts w:ascii="Times New Roman" w:eastAsia="Times New Roman" w:hAnsi="Times New Roman"/>
        </w:rPr>
        <w:t xml:space="preserve">not filled </w:t>
      </w:r>
      <w:r w:rsidR="00A83861">
        <w:rPr>
          <w:rFonts w:ascii="Times New Roman" w:eastAsia="Times New Roman" w:hAnsi="Times New Roman"/>
        </w:rPr>
        <w:t xml:space="preserve">by the patient </w:t>
      </w:r>
      <w:r>
        <w:rPr>
          <w:rFonts w:ascii="Times New Roman" w:eastAsia="Times New Roman" w:hAnsi="Times New Roman"/>
        </w:rPr>
        <w:t>or administered</w:t>
      </w:r>
      <w:r w:rsidRPr="0097786F">
        <w:rPr>
          <w:rFonts w:ascii="Times New Roman" w:eastAsia="Times New Roman" w:hAnsi="Times New Roman"/>
        </w:rPr>
        <w:t xml:space="preserve"> (</w:t>
      </w:r>
      <w:r>
        <w:rPr>
          <w:rFonts w:ascii="Times New Roman" w:eastAsia="Times New Roman" w:hAnsi="Times New Roman"/>
        </w:rPr>
        <w:t>for infusion biologics</w:t>
      </w:r>
      <w:r w:rsidRPr="0097786F">
        <w:rPr>
          <w:rFonts w:ascii="Times New Roman" w:eastAsia="Times New Roman" w:hAnsi="Times New Roman"/>
        </w:rPr>
        <w:t>);</w:t>
      </w:r>
    </w:p>
    <w:p w14:paraId="7F8422A8" w14:textId="77777777" w:rsidR="00D4537E" w:rsidRDefault="00D4537E" w:rsidP="00D4537E">
      <w:pPr>
        <w:pStyle w:val="ListParagraph"/>
        <w:numPr>
          <w:ilvl w:val="0"/>
          <w:numId w:val="5"/>
        </w:numPr>
        <w:rPr>
          <w:rFonts w:ascii="Times New Roman" w:eastAsia="Times New Roman" w:hAnsi="Times New Roman"/>
        </w:rPr>
      </w:pPr>
      <w:r w:rsidRPr="0097786F">
        <w:rPr>
          <w:rFonts w:ascii="Times New Roman" w:eastAsia="Times New Roman" w:hAnsi="Times New Roman"/>
        </w:rPr>
        <w:t xml:space="preserve">Second, </w:t>
      </w:r>
      <w:r>
        <w:rPr>
          <w:rFonts w:ascii="Times New Roman" w:eastAsia="Times New Roman" w:hAnsi="Times New Roman"/>
        </w:rPr>
        <w:t>conditional on patients starting prescribed treatment</w:t>
      </w:r>
      <w:r w:rsidR="005C0C0C">
        <w:rPr>
          <w:rFonts w:ascii="Times New Roman" w:eastAsia="Times New Roman" w:hAnsi="Times New Roman"/>
        </w:rPr>
        <w:t>s</w:t>
      </w:r>
      <w:r>
        <w:rPr>
          <w:rFonts w:ascii="Times New Roman" w:eastAsia="Times New Roman" w:hAnsi="Times New Roman"/>
        </w:rPr>
        <w:t xml:space="preserve">, predict </w:t>
      </w:r>
      <w:r w:rsidRPr="0097786F">
        <w:rPr>
          <w:rFonts w:ascii="Times New Roman" w:eastAsia="Times New Roman" w:hAnsi="Times New Roman"/>
        </w:rPr>
        <w:t xml:space="preserve">persistence with </w:t>
      </w:r>
      <w:r>
        <w:rPr>
          <w:rFonts w:ascii="Times New Roman" w:eastAsia="Times New Roman" w:hAnsi="Times New Roman"/>
        </w:rPr>
        <w:t xml:space="preserve">those </w:t>
      </w:r>
      <w:r w:rsidRPr="0097786F">
        <w:rPr>
          <w:rFonts w:ascii="Times New Roman" w:eastAsia="Times New Roman" w:hAnsi="Times New Roman"/>
        </w:rPr>
        <w:t>treatments</w:t>
      </w:r>
      <w:r>
        <w:rPr>
          <w:rFonts w:ascii="Times New Roman" w:eastAsia="Times New Roman" w:hAnsi="Times New Roman"/>
        </w:rPr>
        <w:t>, so that patients with low predicted probability to adhere can be the targets of multi-faceted systems, provider, and patient-level interventions to promote adherence and optimize treatment outcomes</w:t>
      </w:r>
    </w:p>
    <w:p w14:paraId="0B327721" w14:textId="77777777" w:rsidR="00D4537E" w:rsidRDefault="00D4537E" w:rsidP="00D4537E">
      <w:pPr>
        <w:pStyle w:val="ListParagraph"/>
        <w:rPr>
          <w:rFonts w:ascii="Times New Roman" w:eastAsia="Times New Roman" w:hAnsi="Times New Roman"/>
        </w:rPr>
      </w:pPr>
    </w:p>
    <w:p w14:paraId="2A10D647" w14:textId="77777777" w:rsidR="00D4537E" w:rsidRDefault="00D4537E" w:rsidP="00D4537E">
      <w:pPr>
        <w:rPr>
          <w:rFonts w:ascii="Times New Roman" w:eastAsia="Times New Roman" w:hAnsi="Times New Roman"/>
          <w:color w:val="000000"/>
        </w:rPr>
      </w:pPr>
      <w:r>
        <w:rPr>
          <w:rFonts w:ascii="Times New Roman" w:eastAsia="Times New Roman" w:hAnsi="Times New Roman"/>
          <w:color w:val="000000"/>
        </w:rPr>
        <w:t>W</w:t>
      </w:r>
      <w:r w:rsidRPr="007C7E37">
        <w:rPr>
          <w:rFonts w:ascii="Times New Roman" w:eastAsia="Times New Roman" w:hAnsi="Times New Roman"/>
          <w:color w:val="000000"/>
        </w:rPr>
        <w:t>e will</w:t>
      </w:r>
      <w:r w:rsidR="005C0C0C">
        <w:rPr>
          <w:rFonts w:ascii="Times New Roman" w:eastAsia="Times New Roman" w:hAnsi="Times New Roman"/>
          <w:color w:val="000000"/>
        </w:rPr>
        <w:t xml:space="preserve"> also</w:t>
      </w:r>
      <w:r>
        <w:rPr>
          <w:rFonts w:ascii="Times New Roman" w:eastAsia="Times New Roman" w:hAnsi="Times New Roman"/>
          <w:color w:val="000000"/>
        </w:rPr>
        <w:t xml:space="preserve"> evaluate information gaps between </w:t>
      </w:r>
      <w:r w:rsidRPr="001C3D7A">
        <w:rPr>
          <w:rFonts w:ascii="Times New Roman" w:eastAsia="Times New Roman" w:hAnsi="Times New Roman"/>
          <w:color w:val="000000"/>
        </w:rPr>
        <w:t>claims</w:t>
      </w:r>
      <w:r w:rsidR="00A83861">
        <w:rPr>
          <w:rFonts w:ascii="Times New Roman" w:eastAsia="Times New Roman" w:hAnsi="Times New Roman"/>
          <w:color w:val="000000"/>
        </w:rPr>
        <w:t xml:space="preserve"> only</w:t>
      </w:r>
      <w:r w:rsidRPr="007C7E37">
        <w:rPr>
          <w:rFonts w:ascii="Times New Roman" w:eastAsia="Times New Roman" w:hAnsi="Times New Roman"/>
          <w:color w:val="000000"/>
        </w:rPr>
        <w:t xml:space="preserve">, </w:t>
      </w:r>
      <w:r>
        <w:rPr>
          <w:rFonts w:ascii="Times New Roman" w:eastAsia="Times New Roman" w:hAnsi="Times New Roman"/>
          <w:color w:val="000000"/>
        </w:rPr>
        <w:t xml:space="preserve">EHR </w:t>
      </w:r>
      <w:r w:rsidR="00A83861">
        <w:rPr>
          <w:rFonts w:ascii="Times New Roman" w:eastAsia="Times New Roman" w:hAnsi="Times New Roman"/>
          <w:color w:val="000000"/>
        </w:rPr>
        <w:t>only</w:t>
      </w:r>
      <w:r>
        <w:rPr>
          <w:rFonts w:ascii="Times New Roman" w:eastAsia="Times New Roman" w:hAnsi="Times New Roman"/>
          <w:color w:val="000000"/>
        </w:rPr>
        <w:t xml:space="preserve">, and </w:t>
      </w:r>
      <w:proofErr w:type="spellStart"/>
      <w:r w:rsidRPr="007C7E37">
        <w:rPr>
          <w:rFonts w:ascii="Times New Roman" w:eastAsia="Times New Roman" w:hAnsi="Times New Roman"/>
          <w:color w:val="000000"/>
        </w:rPr>
        <w:t>EHR+claims</w:t>
      </w:r>
      <w:proofErr w:type="spellEnd"/>
      <w:r>
        <w:rPr>
          <w:rFonts w:ascii="Times New Roman" w:eastAsia="Times New Roman" w:hAnsi="Times New Roman"/>
          <w:color w:val="000000"/>
        </w:rPr>
        <w:t xml:space="preserve"> for predicting adherence. </w:t>
      </w:r>
    </w:p>
    <w:p w14:paraId="62F9187D" w14:textId="77777777" w:rsidR="00D4537E" w:rsidRDefault="00D4537E" w:rsidP="00D4537E">
      <w:pPr>
        <w:rPr>
          <w:rFonts w:ascii="Times New Roman" w:eastAsia="Times New Roman" w:hAnsi="Times New Roman"/>
        </w:rPr>
      </w:pPr>
    </w:p>
    <w:p w14:paraId="092D642E" w14:textId="77777777" w:rsidR="00BB45D9" w:rsidRPr="00BB45D9" w:rsidRDefault="00BB45D9" w:rsidP="00BB45D9">
      <w:pPr>
        <w:rPr>
          <w:rFonts w:ascii="Times New Roman" w:eastAsia="Times New Roman" w:hAnsi="Times New Roman"/>
          <w:b/>
        </w:rPr>
      </w:pPr>
      <w:r w:rsidRPr="00BB45D9">
        <w:rPr>
          <w:rFonts w:ascii="Times New Roman" w:eastAsia="Times New Roman" w:hAnsi="Times New Roman"/>
          <w:b/>
        </w:rPr>
        <w:t>Data Sources:</w:t>
      </w:r>
    </w:p>
    <w:p w14:paraId="2D68FA59" w14:textId="77777777" w:rsidR="00BB45D9" w:rsidRDefault="00BB45D9" w:rsidP="00BB45D9">
      <w:pPr>
        <w:rPr>
          <w:rFonts w:ascii="Times New Roman" w:eastAsia="Times New Roman" w:hAnsi="Times New Roman"/>
        </w:rPr>
      </w:pPr>
    </w:p>
    <w:p w14:paraId="2F5906AB" w14:textId="77777777" w:rsidR="00BB45D9" w:rsidRDefault="00BB45D9" w:rsidP="00BB45D9">
      <w:pPr>
        <w:rPr>
          <w:rFonts w:ascii="Times New Roman" w:eastAsia="Times New Roman" w:hAnsi="Times New Roman"/>
        </w:rPr>
      </w:pPr>
      <w:proofErr w:type="spellStart"/>
      <w:r>
        <w:rPr>
          <w:rFonts w:ascii="Times New Roman" w:eastAsia="Times New Roman" w:hAnsi="Times New Roman"/>
        </w:rPr>
        <w:t>Optum</w:t>
      </w:r>
      <w:proofErr w:type="spellEnd"/>
      <w:r w:rsidR="00BA2B1A">
        <w:rPr>
          <w:rFonts w:ascii="Times New Roman" w:eastAsia="Times New Roman" w:hAnsi="Times New Roman"/>
        </w:rPr>
        <w:t xml:space="preserve"> integrated</w:t>
      </w:r>
      <w:r>
        <w:rPr>
          <w:rFonts w:ascii="Times New Roman" w:eastAsia="Times New Roman" w:hAnsi="Times New Roman"/>
        </w:rPr>
        <w:t xml:space="preserve"> claims </w:t>
      </w:r>
      <w:r w:rsidR="00BA2B1A">
        <w:rPr>
          <w:rFonts w:ascii="Times New Roman" w:eastAsia="Times New Roman" w:hAnsi="Times New Roman"/>
        </w:rPr>
        <w:t>and</w:t>
      </w:r>
      <w:r>
        <w:rPr>
          <w:rFonts w:ascii="Times New Roman" w:eastAsia="Times New Roman" w:hAnsi="Times New Roman"/>
        </w:rPr>
        <w:t xml:space="preserve"> EHR data was used in this study. This integrated dataset was fully compliant with HIPPA requirements and was made available for this specific study </w:t>
      </w:r>
      <w:r w:rsidR="00A83861">
        <w:rPr>
          <w:rFonts w:ascii="Times New Roman" w:eastAsia="Times New Roman" w:hAnsi="Times New Roman"/>
        </w:rPr>
        <w:t xml:space="preserve">through a contest organized by Health </w:t>
      </w:r>
      <w:proofErr w:type="spellStart"/>
      <w:r w:rsidR="00A83861">
        <w:rPr>
          <w:rFonts w:ascii="Times New Roman" w:eastAsia="Times New Roman" w:hAnsi="Times New Roman"/>
        </w:rPr>
        <w:t>Datapolooza</w:t>
      </w:r>
      <w:proofErr w:type="spellEnd"/>
      <w:r>
        <w:rPr>
          <w:rFonts w:ascii="Times New Roman" w:eastAsia="Times New Roman" w:hAnsi="Times New Roman"/>
        </w:rPr>
        <w:t xml:space="preserve">.  </w:t>
      </w:r>
    </w:p>
    <w:p w14:paraId="05619BE7" w14:textId="77777777" w:rsidR="00BB45D9" w:rsidRDefault="00BB45D9" w:rsidP="0071464D">
      <w:pPr>
        <w:rPr>
          <w:rFonts w:ascii="Times New Roman" w:eastAsia="Times New Roman" w:hAnsi="Times New Roman"/>
        </w:rPr>
      </w:pPr>
    </w:p>
    <w:p w14:paraId="0CA68EDD" w14:textId="77777777" w:rsidR="00BB45D9" w:rsidRPr="00BB45D9" w:rsidRDefault="00BB45D9" w:rsidP="0071464D">
      <w:pPr>
        <w:rPr>
          <w:rFonts w:ascii="Times New Roman" w:eastAsia="Times New Roman" w:hAnsi="Times New Roman"/>
          <w:b/>
        </w:rPr>
      </w:pPr>
      <w:r w:rsidRPr="00BB45D9">
        <w:rPr>
          <w:rFonts w:ascii="Times New Roman" w:eastAsia="Times New Roman" w:hAnsi="Times New Roman"/>
          <w:b/>
        </w:rPr>
        <w:t>Research Objectives and Study Design</w:t>
      </w:r>
    </w:p>
    <w:p w14:paraId="6CC372A0" w14:textId="77777777" w:rsidR="00BB45D9" w:rsidRDefault="00BB45D9" w:rsidP="00BB45D9">
      <w:pPr>
        <w:tabs>
          <w:tab w:val="left" w:pos="1320"/>
        </w:tabs>
        <w:rPr>
          <w:rFonts w:ascii="Times New Roman" w:eastAsia="Times New Roman" w:hAnsi="Times New Roman"/>
        </w:rPr>
      </w:pPr>
    </w:p>
    <w:p w14:paraId="211142C3" w14:textId="77777777" w:rsidR="001C3D7A" w:rsidRPr="00882100" w:rsidRDefault="00BB45D9" w:rsidP="00BA2B1A">
      <w:pPr>
        <w:tabs>
          <w:tab w:val="left" w:pos="1320"/>
        </w:tabs>
        <w:rPr>
          <w:rFonts w:ascii="Times New Roman" w:eastAsia="Times New Roman" w:hAnsi="Times New Roman"/>
        </w:rPr>
      </w:pPr>
      <w:r>
        <w:rPr>
          <w:rFonts w:ascii="Times New Roman" w:eastAsia="Times New Roman" w:hAnsi="Times New Roman"/>
        </w:rPr>
        <w:t xml:space="preserve">This is a retrospective cohort study using integrated claims and EHR data to understand factors associated with </w:t>
      </w:r>
      <w:r w:rsidR="00BA2B1A">
        <w:rPr>
          <w:rFonts w:ascii="Times New Roman" w:eastAsia="Times New Roman" w:hAnsi="Times New Roman"/>
        </w:rPr>
        <w:t xml:space="preserve">primary </w:t>
      </w:r>
      <w:r>
        <w:rPr>
          <w:rFonts w:ascii="Times New Roman" w:eastAsia="Times New Roman" w:hAnsi="Times New Roman"/>
        </w:rPr>
        <w:t xml:space="preserve">adherence and </w:t>
      </w:r>
      <w:r w:rsidR="00BA2B1A">
        <w:rPr>
          <w:rFonts w:ascii="Times New Roman" w:eastAsia="Times New Roman" w:hAnsi="Times New Roman"/>
        </w:rPr>
        <w:t>persistence</w:t>
      </w:r>
      <w:r>
        <w:rPr>
          <w:rFonts w:ascii="Times New Roman" w:eastAsia="Times New Roman" w:hAnsi="Times New Roman"/>
        </w:rPr>
        <w:t xml:space="preserve"> in </w:t>
      </w:r>
      <w:r w:rsidR="00DA248B">
        <w:rPr>
          <w:rFonts w:ascii="Times New Roman" w:eastAsia="Times New Roman" w:hAnsi="Times New Roman"/>
        </w:rPr>
        <w:t xml:space="preserve">RA patients </w:t>
      </w:r>
      <w:r w:rsidR="00BA2B1A">
        <w:rPr>
          <w:rFonts w:ascii="Times New Roman" w:eastAsia="Times New Roman" w:hAnsi="Times New Roman"/>
        </w:rPr>
        <w:t xml:space="preserve">newly prescribed and </w:t>
      </w:r>
      <w:r w:rsidR="00DA248B">
        <w:rPr>
          <w:rFonts w:ascii="Times New Roman" w:eastAsia="Times New Roman" w:hAnsi="Times New Roman"/>
        </w:rPr>
        <w:t>treated with MTX and biologics/</w:t>
      </w:r>
      <w:proofErr w:type="spellStart"/>
      <w:r w:rsidR="00DA248B">
        <w:rPr>
          <w:rFonts w:ascii="Times New Roman" w:eastAsia="Times New Roman" w:hAnsi="Times New Roman"/>
        </w:rPr>
        <w:t>tofacitinib</w:t>
      </w:r>
      <w:proofErr w:type="spellEnd"/>
      <w:r w:rsidR="00DA248B">
        <w:rPr>
          <w:rFonts w:ascii="Times New Roman" w:eastAsia="Times New Roman" w:hAnsi="Times New Roman"/>
        </w:rPr>
        <w:t>.</w:t>
      </w:r>
      <w:r w:rsidR="00BA2B1A">
        <w:rPr>
          <w:rFonts w:ascii="Times New Roman" w:eastAsia="Times New Roman" w:hAnsi="Times New Roman"/>
        </w:rPr>
        <w:t xml:space="preserve"> </w:t>
      </w:r>
      <w:r w:rsidR="00882100" w:rsidRPr="00882100">
        <w:rPr>
          <w:rFonts w:ascii="Times New Roman" w:eastAsia="Times New Roman" w:hAnsi="Times New Roman"/>
          <w:color w:val="000000"/>
        </w:rPr>
        <w:t>Specific research q</w:t>
      </w:r>
      <w:r w:rsidR="001C3D7A" w:rsidRPr="00882100">
        <w:rPr>
          <w:rFonts w:ascii="Times New Roman" w:eastAsia="Times New Roman" w:hAnsi="Times New Roman"/>
          <w:color w:val="000000"/>
        </w:rPr>
        <w:t>uestions</w:t>
      </w:r>
      <w:r w:rsidR="00882100" w:rsidRPr="00882100">
        <w:rPr>
          <w:rFonts w:ascii="Times New Roman" w:eastAsia="Times New Roman" w:hAnsi="Times New Roman"/>
          <w:color w:val="000000"/>
        </w:rPr>
        <w:t xml:space="preserve"> are</w:t>
      </w:r>
      <w:r w:rsidR="005C0C0C">
        <w:rPr>
          <w:rFonts w:ascii="Times New Roman" w:eastAsia="Times New Roman" w:hAnsi="Times New Roman"/>
          <w:color w:val="000000"/>
        </w:rPr>
        <w:t>:</w:t>
      </w:r>
    </w:p>
    <w:p w14:paraId="2E3AF634" w14:textId="77777777" w:rsidR="00694A0E" w:rsidRDefault="00694A0E" w:rsidP="001C3D7A">
      <w:pPr>
        <w:rPr>
          <w:rFonts w:ascii="Times New Roman" w:eastAsia="Times New Roman" w:hAnsi="Times New Roman"/>
          <w:color w:val="000000"/>
          <w:u w:val="single"/>
        </w:rPr>
      </w:pPr>
    </w:p>
    <w:p w14:paraId="2703E7AF" w14:textId="77777777" w:rsidR="00AA7847" w:rsidRPr="00AA7847" w:rsidRDefault="00AA7847" w:rsidP="00AA7847">
      <w:pPr>
        <w:pStyle w:val="ListParagraph"/>
        <w:numPr>
          <w:ilvl w:val="0"/>
          <w:numId w:val="9"/>
        </w:numPr>
        <w:rPr>
          <w:rFonts w:ascii="Times New Roman" w:eastAsia="Times New Roman" w:hAnsi="Times New Roman"/>
          <w:color w:val="000000"/>
        </w:rPr>
      </w:pPr>
      <w:r w:rsidRPr="00AA7847">
        <w:rPr>
          <w:rFonts w:ascii="Times New Roman" w:eastAsia="Times New Roman" w:hAnsi="Times New Roman"/>
          <w:color w:val="000000"/>
        </w:rPr>
        <w:t>Evaluate the availability of various predictors of adherence available at baseline (time of drug prescribing/initiation) from EHR and claims.</w:t>
      </w:r>
    </w:p>
    <w:p w14:paraId="5BDBE04A" w14:textId="77777777" w:rsidR="001E5765" w:rsidRDefault="001E5765" w:rsidP="001E5765">
      <w:pPr>
        <w:pStyle w:val="ListParagraph"/>
        <w:rPr>
          <w:rFonts w:ascii="Times New Roman" w:eastAsia="Times New Roman" w:hAnsi="Times New Roman"/>
          <w:color w:val="000000"/>
        </w:rPr>
      </w:pPr>
    </w:p>
    <w:p w14:paraId="1D386E2C" w14:textId="77777777" w:rsidR="00694A0E" w:rsidRDefault="00BA2B1A" w:rsidP="00694A0E">
      <w:pPr>
        <w:pStyle w:val="ListParagraph"/>
        <w:numPr>
          <w:ilvl w:val="0"/>
          <w:numId w:val="9"/>
        </w:numPr>
        <w:rPr>
          <w:rFonts w:ascii="Times New Roman" w:eastAsia="Times New Roman" w:hAnsi="Times New Roman"/>
          <w:color w:val="000000"/>
        </w:rPr>
      </w:pPr>
      <w:r>
        <w:rPr>
          <w:rFonts w:ascii="Times New Roman" w:eastAsia="Times New Roman" w:hAnsi="Times New Roman"/>
          <w:color w:val="000000"/>
        </w:rPr>
        <w:lastRenderedPageBreak/>
        <w:t>Estimate predictors at baseline for</w:t>
      </w:r>
      <w:r w:rsidR="00694A0E">
        <w:rPr>
          <w:rFonts w:ascii="Times New Roman" w:eastAsia="Times New Roman" w:hAnsi="Times New Roman"/>
          <w:color w:val="000000"/>
        </w:rPr>
        <w:t xml:space="preserve"> primary non-adherence defined as prescriptions </w:t>
      </w:r>
      <w:r>
        <w:rPr>
          <w:rFonts w:ascii="Times New Roman" w:eastAsia="Times New Roman" w:hAnsi="Times New Roman"/>
          <w:color w:val="000000"/>
        </w:rPr>
        <w:t>of MTX and biologics/</w:t>
      </w:r>
      <w:proofErr w:type="spellStart"/>
      <w:r w:rsidRPr="001C3D7A">
        <w:rPr>
          <w:rFonts w:ascii="Times New Roman" w:eastAsia="Times New Roman" w:hAnsi="Times New Roman"/>
          <w:color w:val="000000"/>
        </w:rPr>
        <w:t>tofacitinib</w:t>
      </w:r>
      <w:proofErr w:type="spellEnd"/>
      <w:r w:rsidRPr="001C3D7A">
        <w:rPr>
          <w:rFonts w:ascii="Times New Roman" w:eastAsia="Times New Roman" w:hAnsi="Times New Roman"/>
          <w:color w:val="000000"/>
        </w:rPr>
        <w:t xml:space="preserve"> </w:t>
      </w:r>
      <w:r>
        <w:rPr>
          <w:rFonts w:ascii="Times New Roman" w:eastAsia="Times New Roman" w:hAnsi="Times New Roman"/>
          <w:color w:val="000000"/>
        </w:rPr>
        <w:t>recorded</w:t>
      </w:r>
      <w:r w:rsidR="00694A0E">
        <w:rPr>
          <w:rFonts w:ascii="Times New Roman" w:eastAsia="Times New Roman" w:hAnsi="Times New Roman"/>
          <w:color w:val="000000"/>
        </w:rPr>
        <w:t xml:space="preserve"> in EHR</w:t>
      </w:r>
      <w:r w:rsidR="001E5765">
        <w:rPr>
          <w:rFonts w:ascii="Times New Roman" w:eastAsia="Times New Roman" w:hAnsi="Times New Roman"/>
          <w:color w:val="000000"/>
        </w:rPr>
        <w:t xml:space="preserve"> </w:t>
      </w:r>
      <w:r w:rsidR="00AA7847">
        <w:rPr>
          <w:rFonts w:ascii="Times New Roman" w:eastAsia="Times New Roman" w:hAnsi="Times New Roman"/>
          <w:color w:val="000000"/>
        </w:rPr>
        <w:t xml:space="preserve">data </w:t>
      </w:r>
      <w:r w:rsidR="001E5765">
        <w:rPr>
          <w:rFonts w:ascii="Times New Roman" w:eastAsia="Times New Roman" w:hAnsi="Times New Roman"/>
          <w:color w:val="000000"/>
        </w:rPr>
        <w:t>but</w:t>
      </w:r>
      <w:r w:rsidR="00694A0E">
        <w:rPr>
          <w:rFonts w:ascii="Times New Roman" w:eastAsia="Times New Roman" w:hAnsi="Times New Roman"/>
          <w:color w:val="000000"/>
        </w:rPr>
        <w:t xml:space="preserve"> </w:t>
      </w:r>
      <w:r>
        <w:rPr>
          <w:rFonts w:ascii="Times New Roman" w:eastAsia="Times New Roman" w:hAnsi="Times New Roman"/>
          <w:color w:val="000000"/>
        </w:rPr>
        <w:t>not</w:t>
      </w:r>
      <w:r w:rsidR="00694A0E">
        <w:rPr>
          <w:rFonts w:ascii="Times New Roman" w:eastAsia="Times New Roman" w:hAnsi="Times New Roman"/>
          <w:color w:val="000000"/>
        </w:rPr>
        <w:t xml:space="preserve"> filled</w:t>
      </w:r>
      <w:r w:rsidR="001E5765">
        <w:rPr>
          <w:rFonts w:ascii="Times New Roman" w:eastAsia="Times New Roman" w:hAnsi="Times New Roman"/>
          <w:color w:val="000000"/>
        </w:rPr>
        <w:t xml:space="preserve"> or administered</w:t>
      </w:r>
      <w:r w:rsidR="00694A0E">
        <w:rPr>
          <w:rFonts w:ascii="Times New Roman" w:eastAsia="Times New Roman" w:hAnsi="Times New Roman"/>
          <w:color w:val="000000"/>
        </w:rPr>
        <w:t xml:space="preserve"> </w:t>
      </w:r>
      <w:r w:rsidR="001E5765">
        <w:rPr>
          <w:rFonts w:ascii="Times New Roman" w:eastAsia="Times New Roman" w:hAnsi="Times New Roman"/>
          <w:color w:val="000000"/>
        </w:rPr>
        <w:t xml:space="preserve">in </w:t>
      </w:r>
      <w:r>
        <w:rPr>
          <w:rFonts w:ascii="Times New Roman" w:eastAsia="Times New Roman" w:hAnsi="Times New Roman"/>
          <w:color w:val="000000"/>
        </w:rPr>
        <w:t>RA patients who were newly prescribed with MTX and biologics/</w:t>
      </w:r>
      <w:proofErr w:type="spellStart"/>
      <w:r>
        <w:rPr>
          <w:rFonts w:ascii="Times New Roman" w:eastAsia="Times New Roman" w:hAnsi="Times New Roman"/>
          <w:color w:val="000000"/>
        </w:rPr>
        <w:t>tofacinib</w:t>
      </w:r>
      <w:proofErr w:type="spellEnd"/>
      <w:r w:rsidR="00694A0E">
        <w:rPr>
          <w:rFonts w:ascii="Times New Roman" w:eastAsia="Times New Roman" w:hAnsi="Times New Roman"/>
          <w:color w:val="000000"/>
        </w:rPr>
        <w:t xml:space="preserve">. </w:t>
      </w:r>
    </w:p>
    <w:p w14:paraId="18E7480E" w14:textId="77777777" w:rsidR="001E5765" w:rsidRPr="001E5765" w:rsidRDefault="001E5765" w:rsidP="001E5765">
      <w:pPr>
        <w:pStyle w:val="ListParagraph"/>
        <w:rPr>
          <w:rFonts w:ascii="Times New Roman" w:eastAsia="Times New Roman" w:hAnsi="Times New Roman"/>
          <w:color w:val="000000"/>
        </w:rPr>
      </w:pPr>
    </w:p>
    <w:p w14:paraId="7BC41228" w14:textId="77777777" w:rsidR="001E5765" w:rsidRPr="00694A0E" w:rsidRDefault="00BA2B1A" w:rsidP="00694A0E">
      <w:pPr>
        <w:pStyle w:val="ListParagraph"/>
        <w:numPr>
          <w:ilvl w:val="0"/>
          <w:numId w:val="9"/>
        </w:numPr>
        <w:rPr>
          <w:rFonts w:ascii="Times New Roman" w:eastAsia="Times New Roman" w:hAnsi="Times New Roman"/>
          <w:color w:val="000000"/>
        </w:rPr>
      </w:pPr>
      <w:r>
        <w:rPr>
          <w:rFonts w:ascii="Times New Roman" w:eastAsia="Times New Roman" w:hAnsi="Times New Roman"/>
          <w:color w:val="000000"/>
        </w:rPr>
        <w:t xml:space="preserve">Estimate predictors at baseline for </w:t>
      </w:r>
      <w:r w:rsidR="001E5765">
        <w:rPr>
          <w:rFonts w:ascii="Times New Roman" w:eastAsia="Times New Roman" w:hAnsi="Times New Roman"/>
          <w:color w:val="000000"/>
        </w:rPr>
        <w:t>persistence with MTX and biologics/</w:t>
      </w:r>
      <w:proofErr w:type="spellStart"/>
      <w:r w:rsidR="001E5765" w:rsidRPr="001C3D7A">
        <w:rPr>
          <w:rFonts w:ascii="Times New Roman" w:eastAsia="Times New Roman" w:hAnsi="Times New Roman"/>
          <w:color w:val="000000"/>
        </w:rPr>
        <w:t>tofacitinib</w:t>
      </w:r>
      <w:proofErr w:type="spellEnd"/>
      <w:r w:rsidR="001E5765" w:rsidRPr="001C3D7A">
        <w:rPr>
          <w:rFonts w:ascii="Times New Roman" w:eastAsia="Times New Roman" w:hAnsi="Times New Roman"/>
          <w:color w:val="000000"/>
        </w:rPr>
        <w:t xml:space="preserve"> </w:t>
      </w:r>
      <w:r w:rsidR="001E5765">
        <w:rPr>
          <w:rFonts w:ascii="Times New Roman" w:eastAsia="Times New Roman" w:hAnsi="Times New Roman"/>
          <w:color w:val="000000"/>
        </w:rPr>
        <w:t xml:space="preserve">in RA patients </w:t>
      </w:r>
      <w:r>
        <w:rPr>
          <w:rFonts w:ascii="Times New Roman" w:eastAsia="Times New Roman" w:hAnsi="Times New Roman"/>
          <w:color w:val="000000"/>
        </w:rPr>
        <w:t>who initiated treatment with MTX and biologics/</w:t>
      </w:r>
      <w:proofErr w:type="spellStart"/>
      <w:r w:rsidRPr="001C3D7A">
        <w:rPr>
          <w:rFonts w:ascii="Times New Roman" w:eastAsia="Times New Roman" w:hAnsi="Times New Roman"/>
          <w:color w:val="000000"/>
        </w:rPr>
        <w:t>tofacitinib</w:t>
      </w:r>
      <w:proofErr w:type="spellEnd"/>
      <w:r w:rsidR="001E5765">
        <w:rPr>
          <w:rFonts w:ascii="Times New Roman" w:eastAsia="Times New Roman" w:hAnsi="Times New Roman"/>
          <w:color w:val="000000"/>
        </w:rPr>
        <w:t>.</w:t>
      </w:r>
    </w:p>
    <w:p w14:paraId="2BF976E7" w14:textId="77777777" w:rsidR="001C3D7A" w:rsidRPr="001C3D7A" w:rsidRDefault="001C3D7A" w:rsidP="001C3D7A">
      <w:pPr>
        <w:rPr>
          <w:rFonts w:ascii="Times New Roman" w:eastAsia="Times New Roman" w:hAnsi="Times New Roman"/>
        </w:rPr>
      </w:pPr>
    </w:p>
    <w:p w14:paraId="1C5344D3" w14:textId="77777777" w:rsidR="001C3D7A" w:rsidRPr="00882100" w:rsidRDefault="001C3D7A" w:rsidP="001C3D7A">
      <w:pPr>
        <w:rPr>
          <w:rFonts w:ascii="Times New Roman" w:eastAsia="Times New Roman" w:hAnsi="Times New Roman"/>
          <w:u w:val="single"/>
        </w:rPr>
      </w:pPr>
      <w:r w:rsidRPr="00882100">
        <w:rPr>
          <w:rFonts w:ascii="Times New Roman" w:eastAsia="Times New Roman" w:hAnsi="Times New Roman"/>
          <w:color w:val="000000"/>
          <w:u w:val="single"/>
        </w:rPr>
        <w:t xml:space="preserve">Study Sample: </w:t>
      </w:r>
    </w:p>
    <w:p w14:paraId="41842260" w14:textId="77777777" w:rsidR="000D1663" w:rsidRDefault="000D1663" w:rsidP="000D1663">
      <w:pPr>
        <w:rPr>
          <w:rFonts w:ascii="Times New Roman" w:hAnsi="Times New Roman"/>
        </w:rPr>
      </w:pPr>
    </w:p>
    <w:p w14:paraId="0527A0E8" w14:textId="77777777" w:rsidR="000D1663" w:rsidRDefault="000D1663" w:rsidP="000D1663">
      <w:pPr>
        <w:rPr>
          <w:rFonts w:ascii="Times New Roman" w:hAnsi="Times New Roman"/>
        </w:rPr>
      </w:pPr>
      <w:r>
        <w:rPr>
          <w:rFonts w:ascii="Times New Roman" w:hAnsi="Times New Roman"/>
        </w:rPr>
        <w:t>The original sample provided contain</w:t>
      </w:r>
      <w:r w:rsidR="008536AB">
        <w:rPr>
          <w:rFonts w:ascii="Times New Roman" w:hAnsi="Times New Roman"/>
        </w:rPr>
        <w:t>s</w:t>
      </w:r>
      <w:r>
        <w:rPr>
          <w:rFonts w:ascii="Times New Roman" w:hAnsi="Times New Roman"/>
        </w:rPr>
        <w:t xml:space="preserve"> about 120,000 patients from 2007 to 2015. </w:t>
      </w:r>
      <w:r w:rsidR="00407F9D">
        <w:rPr>
          <w:rFonts w:ascii="Times New Roman" w:hAnsi="Times New Roman"/>
        </w:rPr>
        <w:t>Two</w:t>
      </w:r>
      <w:r>
        <w:rPr>
          <w:rFonts w:ascii="Times New Roman" w:hAnsi="Times New Roman"/>
        </w:rPr>
        <w:t xml:space="preserve"> cohorts</w:t>
      </w:r>
      <w:r w:rsidR="00407F9D">
        <w:rPr>
          <w:rFonts w:ascii="Times New Roman" w:hAnsi="Times New Roman"/>
        </w:rPr>
        <w:t xml:space="preserve"> of patients newly prescribed with methotrexate and biologics/</w:t>
      </w:r>
      <w:proofErr w:type="spellStart"/>
      <w:r w:rsidR="00407F9D">
        <w:rPr>
          <w:rFonts w:ascii="Times New Roman" w:hAnsi="Times New Roman"/>
        </w:rPr>
        <w:t>tofacitinib</w:t>
      </w:r>
      <w:proofErr w:type="spellEnd"/>
      <w:r w:rsidR="00407F9D">
        <w:rPr>
          <w:rFonts w:ascii="Times New Roman" w:hAnsi="Times New Roman"/>
        </w:rPr>
        <w:t xml:space="preserve"> will be </w:t>
      </w:r>
      <w:r>
        <w:rPr>
          <w:rFonts w:ascii="Times New Roman" w:hAnsi="Times New Roman"/>
        </w:rPr>
        <w:t>extracted with the following criteria.</w:t>
      </w:r>
      <w:r w:rsidR="00407F9D">
        <w:rPr>
          <w:rFonts w:ascii="Times New Roman" w:hAnsi="Times New Roman"/>
        </w:rPr>
        <w:t xml:space="preserve"> A </w:t>
      </w:r>
      <w:proofErr w:type="spellStart"/>
      <w:r w:rsidR="00407F9D">
        <w:rPr>
          <w:rFonts w:ascii="Times New Roman" w:hAnsi="Times New Roman"/>
        </w:rPr>
        <w:t>subcohort</w:t>
      </w:r>
      <w:proofErr w:type="spellEnd"/>
      <w:r w:rsidR="00407F9D">
        <w:rPr>
          <w:rFonts w:ascii="Times New Roman" w:hAnsi="Times New Roman"/>
        </w:rPr>
        <w:t xml:space="preserve"> from each of the two cohorts </w:t>
      </w:r>
      <w:r w:rsidR="00A83861">
        <w:rPr>
          <w:rFonts w:ascii="Times New Roman" w:hAnsi="Times New Roman"/>
        </w:rPr>
        <w:t xml:space="preserve">that contains patients </w:t>
      </w:r>
      <w:r w:rsidR="00407F9D">
        <w:rPr>
          <w:rFonts w:ascii="Times New Roman" w:hAnsi="Times New Roman"/>
        </w:rPr>
        <w:t>who initiated treatment will be extrac</w:t>
      </w:r>
      <w:r w:rsidR="00A83861">
        <w:rPr>
          <w:rFonts w:ascii="Times New Roman" w:hAnsi="Times New Roman"/>
        </w:rPr>
        <w:t>ted to study persistence</w:t>
      </w:r>
      <w:r w:rsidR="00407F9D">
        <w:rPr>
          <w:rFonts w:ascii="Times New Roman" w:hAnsi="Times New Roman"/>
        </w:rPr>
        <w:t xml:space="preserve">. </w:t>
      </w:r>
    </w:p>
    <w:p w14:paraId="5C54AA90" w14:textId="77777777" w:rsidR="000D1663" w:rsidRDefault="000D1663" w:rsidP="000D1663">
      <w:pPr>
        <w:rPr>
          <w:rFonts w:ascii="Times New Roman" w:hAnsi="Times New Roman"/>
        </w:rPr>
      </w:pPr>
      <w:r>
        <w:rPr>
          <w:rFonts w:ascii="Times New Roman" w:hAnsi="Times New Roman"/>
        </w:rPr>
        <w:t xml:space="preserve"> </w:t>
      </w:r>
    </w:p>
    <w:p w14:paraId="37203EB0" w14:textId="77777777" w:rsidR="000D1663" w:rsidRDefault="00267D4F" w:rsidP="000D1663">
      <w:pPr>
        <w:rPr>
          <w:rFonts w:ascii="Times New Roman" w:hAnsi="Times New Roman"/>
        </w:rPr>
      </w:pPr>
      <w:r>
        <w:rPr>
          <w:rFonts w:ascii="Times New Roman" w:hAnsi="Times New Roman"/>
        </w:rPr>
        <w:t>1</w:t>
      </w:r>
      <w:r w:rsidR="000D1663" w:rsidRPr="00246212">
        <w:rPr>
          <w:rFonts w:ascii="Times New Roman" w:hAnsi="Times New Roman"/>
        </w:rPr>
        <w:t xml:space="preserve">. </w:t>
      </w:r>
      <w:r w:rsidR="00407F9D">
        <w:rPr>
          <w:rFonts w:ascii="Times New Roman" w:hAnsi="Times New Roman"/>
        </w:rPr>
        <w:t xml:space="preserve">Patients Newly Prescribed with </w:t>
      </w:r>
      <w:r w:rsidR="000D1663" w:rsidRPr="00246212">
        <w:rPr>
          <w:rFonts w:ascii="Times New Roman" w:hAnsi="Times New Roman"/>
        </w:rPr>
        <w:t xml:space="preserve">Methotrexate (MTX) </w:t>
      </w:r>
    </w:p>
    <w:p w14:paraId="6B11C0C0" w14:textId="77777777" w:rsidR="00267D4F" w:rsidRPr="00246212" w:rsidRDefault="00267D4F" w:rsidP="000D1663">
      <w:pPr>
        <w:rPr>
          <w:rFonts w:ascii="Times New Roman" w:hAnsi="Times New Roman"/>
        </w:rPr>
      </w:pPr>
    </w:p>
    <w:p w14:paraId="231C6549" w14:textId="77777777" w:rsidR="000D1663" w:rsidRPr="00246212" w:rsidRDefault="000D1663" w:rsidP="000D1663">
      <w:pPr>
        <w:rPr>
          <w:rFonts w:ascii="Times New Roman" w:hAnsi="Times New Roman"/>
        </w:rPr>
      </w:pPr>
      <w:r w:rsidRPr="00246212">
        <w:rPr>
          <w:rFonts w:ascii="Times New Roman" w:hAnsi="Times New Roman"/>
        </w:rPr>
        <w:t xml:space="preserve">This cohort </w:t>
      </w:r>
      <w:r w:rsidR="00267D4F">
        <w:rPr>
          <w:rFonts w:ascii="Times New Roman" w:hAnsi="Times New Roman"/>
        </w:rPr>
        <w:t>consists of</w:t>
      </w:r>
      <w:r w:rsidRPr="00246212">
        <w:rPr>
          <w:rFonts w:ascii="Times New Roman" w:hAnsi="Times New Roman"/>
        </w:rPr>
        <w:t xml:space="preserve"> patients </w:t>
      </w:r>
      <w:r w:rsidR="00267D4F">
        <w:rPr>
          <w:rFonts w:ascii="Times New Roman" w:hAnsi="Times New Roman"/>
        </w:rPr>
        <w:t xml:space="preserve">newly </w:t>
      </w:r>
      <w:r w:rsidR="00407F9D">
        <w:rPr>
          <w:rFonts w:ascii="Times New Roman" w:hAnsi="Times New Roman"/>
        </w:rPr>
        <w:t>prescribed with</w:t>
      </w:r>
      <w:r w:rsidR="00267D4F">
        <w:rPr>
          <w:rFonts w:ascii="Times New Roman" w:hAnsi="Times New Roman"/>
        </w:rPr>
        <w:t xml:space="preserve"> an</w:t>
      </w:r>
      <w:r w:rsidRPr="00246212">
        <w:rPr>
          <w:rFonts w:ascii="Times New Roman" w:hAnsi="Times New Roman"/>
        </w:rPr>
        <w:t xml:space="preserve"> oral</w:t>
      </w:r>
      <w:r w:rsidR="00205E54">
        <w:rPr>
          <w:rFonts w:ascii="Times New Roman" w:hAnsi="Times New Roman"/>
        </w:rPr>
        <w:t xml:space="preserve"> or subcutaneous (SC) </w:t>
      </w:r>
      <w:r w:rsidRPr="00246212">
        <w:rPr>
          <w:rFonts w:ascii="Times New Roman" w:hAnsi="Times New Roman"/>
        </w:rPr>
        <w:t>methotrexate (</w:t>
      </w:r>
      <w:r w:rsidR="00205E54">
        <w:rPr>
          <w:rFonts w:ascii="Times New Roman" w:hAnsi="Times New Roman"/>
        </w:rPr>
        <w:t>index</w:t>
      </w:r>
      <w:r w:rsidRPr="00246212">
        <w:rPr>
          <w:rFonts w:ascii="Times New Roman" w:hAnsi="Times New Roman"/>
        </w:rPr>
        <w:t xml:space="preserve"> date</w:t>
      </w:r>
      <w:r w:rsidR="00407F9D">
        <w:rPr>
          <w:rFonts w:ascii="Times New Roman" w:hAnsi="Times New Roman"/>
        </w:rPr>
        <w:t xml:space="preserve"> is defined as the first prescription date</w:t>
      </w:r>
      <w:r w:rsidR="005D63FE">
        <w:rPr>
          <w:rFonts w:ascii="Times New Roman" w:hAnsi="Times New Roman"/>
        </w:rPr>
        <w:t>)</w:t>
      </w:r>
      <w:r w:rsidR="00BC2422">
        <w:rPr>
          <w:rFonts w:ascii="Times New Roman" w:hAnsi="Times New Roman"/>
        </w:rPr>
        <w:t xml:space="preserve"> recorded in EHR</w:t>
      </w:r>
      <w:r w:rsidR="008F4346">
        <w:rPr>
          <w:rFonts w:ascii="Times New Roman" w:hAnsi="Times New Roman"/>
        </w:rPr>
        <w:t>.</w:t>
      </w:r>
      <w:r w:rsidRPr="00246212">
        <w:rPr>
          <w:rFonts w:ascii="Times New Roman" w:hAnsi="Times New Roman"/>
        </w:rPr>
        <w:t xml:space="preserve"> </w:t>
      </w:r>
      <w:r w:rsidR="00267D4F">
        <w:rPr>
          <w:rFonts w:ascii="Times New Roman" w:hAnsi="Times New Roman"/>
        </w:rPr>
        <w:t xml:space="preserve">Below are the complete inclusion and exclusion criteria. </w:t>
      </w:r>
    </w:p>
    <w:p w14:paraId="13666BC7" w14:textId="77777777" w:rsidR="000D1663" w:rsidRDefault="000D1663" w:rsidP="000D1663">
      <w:pPr>
        <w:pStyle w:val="ListParagraph"/>
        <w:rPr>
          <w:rFonts w:ascii="Times New Roman" w:hAnsi="Times New Roman"/>
        </w:rPr>
      </w:pPr>
    </w:p>
    <w:p w14:paraId="5B4164FE" w14:textId="5DCB4F48" w:rsidR="00AA7847" w:rsidRPr="00246212" w:rsidRDefault="00267D4F" w:rsidP="00AA7847">
      <w:pPr>
        <w:rPr>
          <w:rFonts w:ascii="Times New Roman" w:hAnsi="Times New Roman"/>
        </w:rPr>
      </w:pPr>
      <w:r w:rsidRPr="00A95ED7">
        <w:rPr>
          <w:rFonts w:ascii="Times New Roman" w:hAnsi="Times New Roman"/>
        </w:rPr>
        <w:t>Inclusions: Patients</w:t>
      </w:r>
      <w:r w:rsidRPr="00246212">
        <w:rPr>
          <w:rFonts w:ascii="Times New Roman" w:hAnsi="Times New Roman"/>
        </w:rPr>
        <w:t xml:space="preserve"> must meet the f</w:t>
      </w:r>
      <w:r>
        <w:rPr>
          <w:rFonts w:ascii="Times New Roman" w:hAnsi="Times New Roman"/>
        </w:rPr>
        <w:t xml:space="preserve">ollowing criteria: </w:t>
      </w:r>
      <w:r w:rsidR="0016454E">
        <w:rPr>
          <w:rFonts w:ascii="Times New Roman" w:hAnsi="Times New Roman"/>
        </w:rPr>
        <w:t>(</w:t>
      </w:r>
      <w:r>
        <w:rPr>
          <w:rFonts w:ascii="Times New Roman" w:hAnsi="Times New Roman"/>
        </w:rPr>
        <w:t>1) with at least 12</w:t>
      </w:r>
      <w:r w:rsidRPr="00246212">
        <w:rPr>
          <w:rFonts w:ascii="Times New Roman" w:hAnsi="Times New Roman"/>
        </w:rPr>
        <w:t xml:space="preserve"> months of pharmacy and medical insur</w:t>
      </w:r>
      <w:r>
        <w:rPr>
          <w:rFonts w:ascii="Times New Roman" w:hAnsi="Times New Roman"/>
        </w:rPr>
        <w:t xml:space="preserve">ance coverage before and </w:t>
      </w:r>
      <w:r w:rsidR="00FF2911">
        <w:rPr>
          <w:rFonts w:ascii="Times New Roman" w:hAnsi="Times New Roman"/>
        </w:rPr>
        <w:t>at least 2</w:t>
      </w:r>
      <w:r w:rsidR="00045ACA">
        <w:rPr>
          <w:rFonts w:ascii="Times New Roman" w:hAnsi="Times New Roman"/>
        </w:rPr>
        <w:t xml:space="preserve"> months of </w:t>
      </w:r>
      <w:r w:rsidR="00045ACA" w:rsidRPr="00246212">
        <w:rPr>
          <w:rFonts w:ascii="Times New Roman" w:hAnsi="Times New Roman"/>
        </w:rPr>
        <w:t>pharmacy and medical insur</w:t>
      </w:r>
      <w:r w:rsidR="00045ACA">
        <w:rPr>
          <w:rFonts w:ascii="Times New Roman" w:hAnsi="Times New Roman"/>
        </w:rPr>
        <w:t xml:space="preserve">ance coverage </w:t>
      </w:r>
      <w:r>
        <w:rPr>
          <w:rFonts w:ascii="Times New Roman" w:hAnsi="Times New Roman"/>
        </w:rPr>
        <w:t>after</w:t>
      </w:r>
      <w:r w:rsidRPr="00246212">
        <w:rPr>
          <w:rFonts w:ascii="Times New Roman" w:hAnsi="Times New Roman"/>
        </w:rPr>
        <w:t xml:space="preserve"> </w:t>
      </w:r>
      <w:r w:rsidR="005D63FE">
        <w:rPr>
          <w:rFonts w:ascii="Times New Roman" w:hAnsi="Times New Roman"/>
        </w:rPr>
        <w:t>a new</w:t>
      </w:r>
      <w:r w:rsidRPr="00246212">
        <w:rPr>
          <w:rFonts w:ascii="Times New Roman" w:hAnsi="Times New Roman"/>
        </w:rPr>
        <w:t xml:space="preserve"> </w:t>
      </w:r>
      <w:r>
        <w:rPr>
          <w:rFonts w:ascii="Times New Roman" w:hAnsi="Times New Roman"/>
        </w:rPr>
        <w:t xml:space="preserve">MTX </w:t>
      </w:r>
      <w:r w:rsidR="005D63FE">
        <w:rPr>
          <w:rFonts w:ascii="Times New Roman" w:hAnsi="Times New Roman"/>
        </w:rPr>
        <w:t>prescription</w:t>
      </w:r>
      <w:r w:rsidR="00D70FCE">
        <w:rPr>
          <w:rFonts w:ascii="Times New Roman" w:hAnsi="Times New Roman"/>
        </w:rPr>
        <w:t xml:space="preserve"> recorded in </w:t>
      </w:r>
      <w:r w:rsidR="00045ACA">
        <w:rPr>
          <w:rFonts w:ascii="Times New Roman" w:hAnsi="Times New Roman"/>
        </w:rPr>
        <w:t>prescription</w:t>
      </w:r>
      <w:r w:rsidRPr="00246212">
        <w:rPr>
          <w:rFonts w:ascii="Times New Roman" w:hAnsi="Times New Roman"/>
        </w:rPr>
        <w:t xml:space="preserve"> data</w:t>
      </w:r>
      <w:r w:rsidRPr="00246212">
        <w:rPr>
          <w:rStyle w:val="FootnoteReference"/>
          <w:rFonts w:ascii="Times New Roman" w:hAnsi="Times New Roman"/>
        </w:rPr>
        <w:footnoteReference w:id="2"/>
      </w:r>
      <w:r w:rsidR="008F4346">
        <w:rPr>
          <w:rFonts w:ascii="Times New Roman" w:hAnsi="Times New Roman"/>
        </w:rPr>
        <w:t xml:space="preserve">; </w:t>
      </w:r>
      <w:r w:rsidR="0016454E">
        <w:rPr>
          <w:rFonts w:ascii="Times New Roman" w:hAnsi="Times New Roman"/>
        </w:rPr>
        <w:t>(2</w:t>
      </w:r>
      <w:r w:rsidR="0016454E" w:rsidRPr="00246212">
        <w:rPr>
          <w:rFonts w:ascii="Times New Roman" w:hAnsi="Times New Roman"/>
        </w:rPr>
        <w:t xml:space="preserve">) age </w:t>
      </w:r>
      <w:r w:rsidR="0016454E">
        <w:rPr>
          <w:rFonts w:ascii="Times New Roman" w:hAnsi="Times New Roman"/>
        </w:rPr>
        <w:t xml:space="preserve">&gt;= 18 at index </w:t>
      </w:r>
      <w:r w:rsidR="0016454E" w:rsidRPr="00246212">
        <w:rPr>
          <w:rFonts w:ascii="Times New Roman" w:hAnsi="Times New Roman"/>
        </w:rPr>
        <w:t>date</w:t>
      </w:r>
      <w:r w:rsidR="0016454E">
        <w:rPr>
          <w:rFonts w:ascii="Times New Roman" w:hAnsi="Times New Roman"/>
        </w:rPr>
        <w:t>; (3</w:t>
      </w:r>
      <w:r w:rsidR="008F4346">
        <w:rPr>
          <w:rFonts w:ascii="Times New Roman" w:hAnsi="Times New Roman"/>
        </w:rPr>
        <w:t>) at least 2 RA diagnose</w:t>
      </w:r>
      <w:r>
        <w:rPr>
          <w:rFonts w:ascii="Times New Roman" w:hAnsi="Times New Roman"/>
        </w:rPr>
        <w:t xml:space="preserve">s </w:t>
      </w:r>
      <w:r w:rsidR="008F4346">
        <w:rPr>
          <w:rFonts w:ascii="Times New Roman" w:hAnsi="Times New Roman"/>
        </w:rPr>
        <w:t xml:space="preserve">made by a physician </w:t>
      </w:r>
      <w:r w:rsidR="00D70FCE">
        <w:rPr>
          <w:rFonts w:ascii="Times New Roman" w:hAnsi="Times New Roman"/>
        </w:rPr>
        <w:t xml:space="preserve">in medical claims </w:t>
      </w:r>
      <w:r w:rsidRPr="00246212">
        <w:rPr>
          <w:rFonts w:ascii="Times New Roman" w:hAnsi="Times New Roman"/>
        </w:rPr>
        <w:t xml:space="preserve">that occurred </w:t>
      </w:r>
      <w:r w:rsidR="008F4346">
        <w:rPr>
          <w:rFonts w:ascii="Times New Roman" w:hAnsi="Times New Roman"/>
        </w:rPr>
        <w:t xml:space="preserve">7 days apart </w:t>
      </w:r>
      <w:r w:rsidR="00045ACA">
        <w:rPr>
          <w:rFonts w:ascii="Times New Roman" w:hAnsi="Times New Roman"/>
        </w:rPr>
        <w:t>between index-12 months and index+3 months</w:t>
      </w:r>
      <w:r w:rsidRPr="00246212">
        <w:rPr>
          <w:rFonts w:ascii="Times New Roman" w:hAnsi="Times New Roman"/>
        </w:rPr>
        <w:t xml:space="preserve">. RA was defined with ICD9 diagnosis codes of 714.0, 714.2, or 714.81. </w:t>
      </w:r>
      <w:r w:rsidR="004A7703">
        <w:rPr>
          <w:rFonts w:ascii="Times New Roman" w:hAnsi="Times New Roman"/>
        </w:rPr>
        <w:t>An</w:t>
      </w:r>
      <w:r w:rsidR="004A7703" w:rsidRPr="00246212">
        <w:rPr>
          <w:rFonts w:ascii="Times New Roman" w:hAnsi="Times New Roman"/>
        </w:rPr>
        <w:t xml:space="preserve"> RA diagnosis must be </w:t>
      </w:r>
      <w:r w:rsidR="004A7703">
        <w:rPr>
          <w:rFonts w:ascii="Times New Roman" w:hAnsi="Times New Roman"/>
        </w:rPr>
        <w:t>made</w:t>
      </w:r>
      <w:r w:rsidR="004A7703" w:rsidRPr="00246212">
        <w:rPr>
          <w:rFonts w:ascii="Times New Roman" w:hAnsi="Times New Roman"/>
        </w:rPr>
        <w:t xml:space="preserve"> </w:t>
      </w:r>
      <w:r w:rsidR="00205E54">
        <w:rPr>
          <w:rFonts w:ascii="Times New Roman" w:hAnsi="Times New Roman"/>
        </w:rPr>
        <w:t>by</w:t>
      </w:r>
      <w:r w:rsidR="004A7703" w:rsidRPr="00246212">
        <w:rPr>
          <w:rFonts w:ascii="Times New Roman" w:hAnsi="Times New Roman"/>
        </w:rPr>
        <w:t xml:space="preserve"> a physician </w:t>
      </w:r>
      <w:r w:rsidR="004A7703">
        <w:rPr>
          <w:rFonts w:ascii="Times New Roman" w:hAnsi="Times New Roman"/>
        </w:rPr>
        <w:t>(defined by t</w:t>
      </w:r>
      <w:r w:rsidR="004A7703" w:rsidRPr="005667EB">
        <w:rPr>
          <w:rFonts w:ascii="Times New Roman" w:hAnsi="Times New Roman"/>
        </w:rPr>
        <w:t xml:space="preserve">ype of service </w:t>
      </w:r>
      <w:r w:rsidR="004A7703">
        <w:rPr>
          <w:rFonts w:ascii="Times New Roman" w:hAnsi="Times New Roman"/>
        </w:rPr>
        <w:t>in Medical claims indicating</w:t>
      </w:r>
      <w:r w:rsidR="004A7703" w:rsidRPr="005667EB">
        <w:rPr>
          <w:rFonts w:ascii="Times New Roman" w:hAnsi="Times New Roman"/>
        </w:rPr>
        <w:t xml:space="preserve"> consultations, emergency room, inpatient visits, office visits, </w:t>
      </w:r>
      <w:r w:rsidR="004A7703">
        <w:rPr>
          <w:rFonts w:ascii="Times New Roman" w:hAnsi="Times New Roman"/>
        </w:rPr>
        <w:t>preventive medicine, or physical medicine/rehab).</w:t>
      </w:r>
      <w:r w:rsidR="00AA7847">
        <w:rPr>
          <w:rFonts w:ascii="Times New Roman" w:hAnsi="Times New Roman"/>
        </w:rPr>
        <w:t xml:space="preserve"> This cohort definition is supported by high quality validation studies that have shown that the positive predictive value of this algorithm exceeds 85% to identify RA patients.</w:t>
      </w:r>
    </w:p>
    <w:p w14:paraId="76CC4AD9" w14:textId="77777777" w:rsidR="00267D4F" w:rsidRPr="00246212" w:rsidRDefault="00267D4F" w:rsidP="00267D4F">
      <w:pPr>
        <w:rPr>
          <w:rFonts w:ascii="Times New Roman" w:hAnsi="Times New Roman"/>
        </w:rPr>
      </w:pPr>
    </w:p>
    <w:p w14:paraId="16605A39" w14:textId="2A3302FA" w:rsidR="00267D4F" w:rsidRPr="00246212" w:rsidRDefault="00267D4F" w:rsidP="00267D4F">
      <w:pPr>
        <w:rPr>
          <w:rFonts w:ascii="Times New Roman" w:hAnsi="Times New Roman"/>
        </w:rPr>
      </w:pPr>
      <w:r w:rsidRPr="00A95ED7">
        <w:rPr>
          <w:rFonts w:ascii="Times New Roman" w:hAnsi="Times New Roman"/>
        </w:rPr>
        <w:t>Exclusions</w:t>
      </w:r>
      <w:r w:rsidRPr="00246212">
        <w:rPr>
          <w:rFonts w:ascii="Times New Roman" w:hAnsi="Times New Roman"/>
        </w:rPr>
        <w:t xml:space="preserve">: </w:t>
      </w:r>
      <w:r w:rsidR="004A7703">
        <w:rPr>
          <w:rFonts w:ascii="Times New Roman" w:hAnsi="Times New Roman"/>
        </w:rPr>
        <w:t xml:space="preserve">(1) Using pharmacy </w:t>
      </w:r>
      <w:r w:rsidR="0016454E">
        <w:rPr>
          <w:rFonts w:ascii="Times New Roman" w:hAnsi="Times New Roman"/>
        </w:rPr>
        <w:t xml:space="preserve">and medical </w:t>
      </w:r>
      <w:r w:rsidR="004A7703">
        <w:rPr>
          <w:rFonts w:ascii="Times New Roman" w:hAnsi="Times New Roman"/>
        </w:rPr>
        <w:t xml:space="preserve">claims, any </w:t>
      </w:r>
      <w:r w:rsidR="0016454E">
        <w:rPr>
          <w:rFonts w:ascii="Times New Roman" w:hAnsi="Times New Roman"/>
        </w:rPr>
        <w:t>filling or administration</w:t>
      </w:r>
      <w:r w:rsidR="004A7703">
        <w:rPr>
          <w:rFonts w:ascii="Times New Roman" w:hAnsi="Times New Roman"/>
        </w:rPr>
        <w:t xml:space="preserve"> of </w:t>
      </w:r>
      <w:r w:rsidR="008F4346">
        <w:rPr>
          <w:rFonts w:ascii="Times New Roman" w:hAnsi="Times New Roman"/>
        </w:rPr>
        <w:t xml:space="preserve">a </w:t>
      </w:r>
      <w:r w:rsidR="004A7703" w:rsidRPr="00246212">
        <w:rPr>
          <w:rFonts w:ascii="Times New Roman" w:hAnsi="Times New Roman"/>
        </w:rPr>
        <w:t>biologi</w:t>
      </w:r>
      <w:r w:rsidR="008F4346">
        <w:rPr>
          <w:rFonts w:ascii="Times New Roman" w:hAnsi="Times New Roman"/>
        </w:rPr>
        <w:t xml:space="preserve">c agent </w:t>
      </w:r>
      <w:r w:rsidR="004A7703">
        <w:rPr>
          <w:rFonts w:ascii="Times New Roman" w:hAnsi="Times New Roman"/>
        </w:rPr>
        <w:t xml:space="preserve">or </w:t>
      </w:r>
      <w:proofErr w:type="spellStart"/>
      <w:r w:rsidR="004A7703">
        <w:rPr>
          <w:rFonts w:ascii="Times New Roman" w:hAnsi="Times New Roman"/>
        </w:rPr>
        <w:t>tofacitinab</w:t>
      </w:r>
      <w:proofErr w:type="spellEnd"/>
      <w:r w:rsidR="0016454E">
        <w:rPr>
          <w:rFonts w:ascii="Times New Roman" w:hAnsi="Times New Roman"/>
        </w:rPr>
        <w:t xml:space="preserve"> </w:t>
      </w:r>
      <w:r w:rsidR="00205E54">
        <w:rPr>
          <w:rFonts w:ascii="Times New Roman" w:hAnsi="Times New Roman"/>
        </w:rPr>
        <w:t xml:space="preserve">during the period </w:t>
      </w:r>
      <w:r w:rsidR="00D253E0">
        <w:rPr>
          <w:rFonts w:ascii="Times New Roman" w:hAnsi="Times New Roman"/>
        </w:rPr>
        <w:t>before</w:t>
      </w:r>
      <w:r w:rsidR="004A7703">
        <w:rPr>
          <w:rFonts w:ascii="Times New Roman" w:hAnsi="Times New Roman"/>
        </w:rPr>
        <w:t xml:space="preserve"> </w:t>
      </w:r>
      <w:r w:rsidR="004A7703" w:rsidRPr="00246212">
        <w:rPr>
          <w:rFonts w:ascii="Times New Roman" w:hAnsi="Times New Roman"/>
        </w:rPr>
        <w:t>index</w:t>
      </w:r>
      <w:r w:rsidR="004A7703">
        <w:rPr>
          <w:rFonts w:ascii="Times New Roman" w:hAnsi="Times New Roman"/>
        </w:rPr>
        <w:t xml:space="preserve"> date</w:t>
      </w:r>
      <w:r w:rsidR="00D253E0">
        <w:rPr>
          <w:rFonts w:ascii="Times New Roman" w:hAnsi="Times New Roman"/>
        </w:rPr>
        <w:t xml:space="preserve"> </w:t>
      </w:r>
      <w:r w:rsidR="00B86B1F">
        <w:rPr>
          <w:rFonts w:ascii="Times New Roman" w:hAnsi="Times New Roman"/>
        </w:rPr>
        <w:t>+</w:t>
      </w:r>
      <w:r w:rsidR="00D253E0">
        <w:rPr>
          <w:rFonts w:ascii="Times New Roman" w:hAnsi="Times New Roman"/>
        </w:rPr>
        <w:t xml:space="preserve"> </w:t>
      </w:r>
      <w:r w:rsidR="0016454E">
        <w:rPr>
          <w:rFonts w:ascii="Times New Roman" w:hAnsi="Times New Roman"/>
        </w:rPr>
        <w:t>30 days</w:t>
      </w:r>
      <w:r w:rsidR="00F84318">
        <w:rPr>
          <w:rFonts w:ascii="Times New Roman" w:hAnsi="Times New Roman"/>
        </w:rPr>
        <w:t xml:space="preserve"> (? to be further tested)</w:t>
      </w:r>
      <w:r w:rsidR="004A7703">
        <w:rPr>
          <w:rFonts w:ascii="Times New Roman" w:hAnsi="Times New Roman"/>
        </w:rPr>
        <w:t xml:space="preserve"> </w:t>
      </w:r>
      <w:r w:rsidR="00205E54">
        <w:rPr>
          <w:rFonts w:ascii="Times New Roman" w:hAnsi="Times New Roman"/>
        </w:rPr>
        <w:t xml:space="preserve">as long as </w:t>
      </w:r>
      <w:r w:rsidR="004A7703" w:rsidRPr="00246212">
        <w:rPr>
          <w:rFonts w:ascii="Times New Roman" w:hAnsi="Times New Roman"/>
        </w:rPr>
        <w:t>a patient had full medical and pharmacy coverage</w:t>
      </w:r>
      <w:r w:rsidR="0016454E">
        <w:rPr>
          <w:rFonts w:ascii="Times New Roman" w:hAnsi="Times New Roman"/>
        </w:rPr>
        <w:t xml:space="preserve"> (which </w:t>
      </w:r>
      <w:r w:rsidR="0094027A">
        <w:rPr>
          <w:rFonts w:ascii="Times New Roman" w:hAnsi="Times New Roman"/>
        </w:rPr>
        <w:t>may</w:t>
      </w:r>
      <w:r w:rsidR="0016454E">
        <w:rPr>
          <w:rFonts w:ascii="Times New Roman" w:hAnsi="Times New Roman"/>
        </w:rPr>
        <w:t xml:space="preserve"> exceed 11 months in some cases depending on data availability)</w:t>
      </w:r>
      <w:r w:rsidR="004A7703">
        <w:rPr>
          <w:rFonts w:ascii="Times New Roman" w:hAnsi="Times New Roman"/>
        </w:rPr>
        <w:t xml:space="preserve">; </w:t>
      </w:r>
      <w:r w:rsidR="00FC32C8">
        <w:rPr>
          <w:rFonts w:ascii="Times New Roman" w:hAnsi="Times New Roman"/>
        </w:rPr>
        <w:t>(2) Using pharmacy claims, any filling of MTX before index date; (3</w:t>
      </w:r>
      <w:r w:rsidR="004A7703">
        <w:rPr>
          <w:rFonts w:ascii="Times New Roman" w:hAnsi="Times New Roman"/>
        </w:rPr>
        <w:t xml:space="preserve">) </w:t>
      </w:r>
      <w:r w:rsidRPr="00246212">
        <w:rPr>
          <w:rFonts w:ascii="Times New Roman" w:hAnsi="Times New Roman"/>
        </w:rPr>
        <w:t xml:space="preserve">Using </w:t>
      </w:r>
      <w:r w:rsidR="004A7703">
        <w:rPr>
          <w:rFonts w:ascii="Times New Roman" w:hAnsi="Times New Roman"/>
        </w:rPr>
        <w:t xml:space="preserve">medical claims, </w:t>
      </w:r>
      <w:r w:rsidRPr="00246212">
        <w:rPr>
          <w:rFonts w:ascii="Times New Roman" w:hAnsi="Times New Roman"/>
        </w:rPr>
        <w:t xml:space="preserve">patients with diagnoses of psoriasis or psoriatic arthritis (696.x), inflammatory </w:t>
      </w:r>
      <w:r w:rsidR="004A7703">
        <w:rPr>
          <w:rFonts w:ascii="Times New Roman" w:hAnsi="Times New Roman"/>
        </w:rPr>
        <w:t>bowel disease (555.x, 556.x),</w:t>
      </w:r>
      <w:r w:rsidRPr="00246212">
        <w:rPr>
          <w:rFonts w:ascii="Times New Roman" w:hAnsi="Times New Roman"/>
        </w:rPr>
        <w:t xml:space="preserve"> ankylosing spondylitis (720.x)</w:t>
      </w:r>
      <w:r w:rsidR="004A7703">
        <w:rPr>
          <w:rFonts w:ascii="Times New Roman" w:hAnsi="Times New Roman"/>
        </w:rPr>
        <w:t xml:space="preserve">, or </w:t>
      </w:r>
      <w:r w:rsidR="004A7703" w:rsidRPr="00246212">
        <w:rPr>
          <w:rFonts w:ascii="Times New Roman" w:hAnsi="Times New Roman"/>
        </w:rPr>
        <w:t>cancer (ICD9 140.x – 208.x, other than 173.x [n</w:t>
      </w:r>
      <w:r w:rsidR="00D70FCE">
        <w:rPr>
          <w:rFonts w:ascii="Times New Roman" w:hAnsi="Times New Roman"/>
        </w:rPr>
        <w:t>on-melanoma skin cancer is ok</w:t>
      </w:r>
      <w:r w:rsidR="004A7703" w:rsidRPr="00246212">
        <w:rPr>
          <w:rFonts w:ascii="Times New Roman" w:hAnsi="Times New Roman"/>
        </w:rPr>
        <w:t>])</w:t>
      </w:r>
      <w:r w:rsidR="004A7703" w:rsidRPr="004A7703">
        <w:rPr>
          <w:rFonts w:ascii="Times New Roman" w:hAnsi="Times New Roman"/>
        </w:rPr>
        <w:t xml:space="preserve"> </w:t>
      </w:r>
      <w:r w:rsidR="00FC32C8">
        <w:rPr>
          <w:rFonts w:ascii="Times New Roman" w:hAnsi="Times New Roman"/>
        </w:rPr>
        <w:t>at least</w:t>
      </w:r>
      <w:r w:rsidR="004A7703">
        <w:rPr>
          <w:rFonts w:ascii="Times New Roman" w:hAnsi="Times New Roman"/>
        </w:rPr>
        <w:t xml:space="preserve"> 12</w:t>
      </w:r>
      <w:r w:rsidR="004A7703" w:rsidRPr="00246212">
        <w:rPr>
          <w:rFonts w:ascii="Times New Roman" w:hAnsi="Times New Roman"/>
        </w:rPr>
        <w:t xml:space="preserve"> months </w:t>
      </w:r>
      <w:r w:rsidR="004A7703">
        <w:rPr>
          <w:rFonts w:ascii="Times New Roman" w:hAnsi="Times New Roman"/>
        </w:rPr>
        <w:t xml:space="preserve">before </w:t>
      </w:r>
      <w:r w:rsidR="004A7703" w:rsidRPr="00246212">
        <w:rPr>
          <w:rFonts w:ascii="Times New Roman" w:hAnsi="Times New Roman"/>
        </w:rPr>
        <w:t>index</w:t>
      </w:r>
      <w:r w:rsidR="004A7703">
        <w:rPr>
          <w:rFonts w:ascii="Times New Roman" w:hAnsi="Times New Roman"/>
        </w:rPr>
        <w:t xml:space="preserve"> date</w:t>
      </w:r>
      <w:r w:rsidR="004A7703" w:rsidRPr="00246212">
        <w:rPr>
          <w:rFonts w:ascii="Times New Roman" w:hAnsi="Times New Roman"/>
        </w:rPr>
        <w:t xml:space="preserve"> as long as a patient had full medical and pharmacy coverage</w:t>
      </w:r>
      <w:r w:rsidR="00FC32C8">
        <w:rPr>
          <w:rFonts w:ascii="Times New Roman" w:hAnsi="Times New Roman"/>
        </w:rPr>
        <w:t>; (4</w:t>
      </w:r>
      <w:r w:rsidR="004A7703">
        <w:rPr>
          <w:rFonts w:ascii="Times New Roman" w:hAnsi="Times New Roman"/>
        </w:rPr>
        <w:t>)</w:t>
      </w:r>
      <w:r w:rsidRPr="00246212">
        <w:rPr>
          <w:rFonts w:ascii="Times New Roman" w:hAnsi="Times New Roman"/>
        </w:rPr>
        <w:t xml:space="preserve"> Patients w</w:t>
      </w:r>
      <w:r w:rsidR="004A7703">
        <w:rPr>
          <w:rFonts w:ascii="Times New Roman" w:hAnsi="Times New Roman"/>
        </w:rPr>
        <w:t xml:space="preserve">ith incomplete EHR data </w:t>
      </w:r>
      <w:r w:rsidR="0094027A">
        <w:rPr>
          <w:rFonts w:ascii="Times New Roman" w:hAnsi="Times New Roman"/>
        </w:rPr>
        <w:t xml:space="preserve">between index-12 months and </w:t>
      </w:r>
      <w:r w:rsidR="00FF2911">
        <w:rPr>
          <w:rFonts w:ascii="Times New Roman" w:hAnsi="Times New Roman"/>
        </w:rPr>
        <w:t>index+2</w:t>
      </w:r>
      <w:r w:rsidR="0094027A">
        <w:rPr>
          <w:rFonts w:ascii="Times New Roman" w:hAnsi="Times New Roman"/>
        </w:rPr>
        <w:t xml:space="preserve"> months </w:t>
      </w:r>
      <w:r w:rsidR="00D70FCE">
        <w:rPr>
          <w:rFonts w:ascii="Times New Roman" w:hAnsi="Times New Roman"/>
        </w:rPr>
        <w:t>(T</w:t>
      </w:r>
      <w:r w:rsidRPr="00246212">
        <w:rPr>
          <w:rFonts w:ascii="Times New Roman" w:hAnsi="Times New Roman"/>
        </w:rPr>
        <w:t xml:space="preserve">his is to ensure availability of predictors </w:t>
      </w:r>
      <w:r>
        <w:rPr>
          <w:rFonts w:ascii="Times New Roman" w:hAnsi="Times New Roman"/>
        </w:rPr>
        <w:t xml:space="preserve">from EHR </w:t>
      </w:r>
      <w:r w:rsidR="00FF2911">
        <w:rPr>
          <w:rFonts w:ascii="Times New Roman" w:hAnsi="Times New Roman"/>
        </w:rPr>
        <w:t>during the 14</w:t>
      </w:r>
      <w:r w:rsidRPr="00246212">
        <w:rPr>
          <w:rFonts w:ascii="Times New Roman" w:hAnsi="Times New Roman"/>
        </w:rPr>
        <w:t xml:space="preserve"> months period around index</w:t>
      </w:r>
      <w:r w:rsidR="007157A4">
        <w:rPr>
          <w:rFonts w:ascii="Times New Roman" w:hAnsi="Times New Roman"/>
        </w:rPr>
        <w:t>. But this criterion may need refinement if we end up not using any data from EHR 12 months prior</w:t>
      </w:r>
      <w:r w:rsidRPr="00246212">
        <w:rPr>
          <w:rFonts w:ascii="Times New Roman" w:hAnsi="Times New Roman"/>
        </w:rPr>
        <w:t xml:space="preserve">). </w:t>
      </w:r>
    </w:p>
    <w:p w14:paraId="09720C0F" w14:textId="77777777" w:rsidR="00267D4F" w:rsidRDefault="00267D4F" w:rsidP="00267D4F">
      <w:pPr>
        <w:pStyle w:val="ListParagraph"/>
        <w:ind w:left="0"/>
        <w:rPr>
          <w:rFonts w:ascii="Times New Roman" w:hAnsi="Times New Roman"/>
        </w:rPr>
      </w:pPr>
    </w:p>
    <w:p w14:paraId="77455CA2" w14:textId="77777777" w:rsidR="004A7703" w:rsidRPr="00246212" w:rsidRDefault="004A7703" w:rsidP="004A7703">
      <w:pPr>
        <w:rPr>
          <w:rFonts w:ascii="Times New Roman" w:hAnsi="Times New Roman"/>
        </w:rPr>
      </w:pPr>
      <w:r>
        <w:rPr>
          <w:rFonts w:ascii="Times New Roman" w:hAnsi="Times New Roman"/>
        </w:rPr>
        <w:t>The 12 months preceding</w:t>
      </w:r>
      <w:r w:rsidRPr="00246212">
        <w:rPr>
          <w:rFonts w:ascii="Times New Roman" w:hAnsi="Times New Roman"/>
        </w:rPr>
        <w:t xml:space="preserve"> </w:t>
      </w:r>
      <w:r>
        <w:rPr>
          <w:rFonts w:ascii="Times New Roman" w:hAnsi="Times New Roman"/>
        </w:rPr>
        <w:t xml:space="preserve">MTX </w:t>
      </w:r>
      <w:r w:rsidRPr="00246212">
        <w:rPr>
          <w:rFonts w:ascii="Times New Roman" w:hAnsi="Times New Roman"/>
        </w:rPr>
        <w:t xml:space="preserve">index date </w:t>
      </w:r>
      <w:r>
        <w:rPr>
          <w:rFonts w:ascii="Times New Roman" w:hAnsi="Times New Roman"/>
        </w:rPr>
        <w:t xml:space="preserve">was defined as MTX </w:t>
      </w:r>
      <w:r w:rsidRPr="00246212">
        <w:rPr>
          <w:rFonts w:ascii="Times New Roman" w:hAnsi="Times New Roman"/>
        </w:rPr>
        <w:t xml:space="preserve">baseline period. Note that in some cases, we </w:t>
      </w:r>
      <w:r>
        <w:rPr>
          <w:rFonts w:ascii="Times New Roman" w:hAnsi="Times New Roman"/>
        </w:rPr>
        <w:t>include</w:t>
      </w:r>
      <w:r w:rsidR="00AA7847">
        <w:rPr>
          <w:rFonts w:ascii="Times New Roman" w:hAnsi="Times New Roman"/>
        </w:rPr>
        <w:t>d</w:t>
      </w:r>
      <w:r>
        <w:rPr>
          <w:rFonts w:ascii="Times New Roman" w:hAnsi="Times New Roman"/>
        </w:rPr>
        <w:t xml:space="preserve"> information during the 12-month baseline </w:t>
      </w:r>
      <w:r w:rsidRPr="00246212">
        <w:rPr>
          <w:rFonts w:ascii="Times New Roman" w:hAnsi="Times New Roman"/>
        </w:rPr>
        <w:t xml:space="preserve">as well as </w:t>
      </w:r>
      <w:r>
        <w:rPr>
          <w:rFonts w:ascii="Times New Roman" w:hAnsi="Times New Roman"/>
        </w:rPr>
        <w:t xml:space="preserve">the </w:t>
      </w:r>
      <w:r w:rsidRPr="00246212">
        <w:rPr>
          <w:rFonts w:ascii="Times New Roman" w:hAnsi="Times New Roman"/>
        </w:rPr>
        <w:t>months before that as long as a patient had ful</w:t>
      </w:r>
      <w:r w:rsidR="00AA7847">
        <w:rPr>
          <w:rFonts w:ascii="Times New Roman" w:hAnsi="Times New Roman"/>
        </w:rPr>
        <w:t>l pharmacy and medical coverage in order to avoid misclassification of certain key variables (e.g. prior biologic/MTX use) prior to that, if the data was available</w:t>
      </w:r>
      <w:r w:rsidR="00AA7847" w:rsidRPr="00246212">
        <w:rPr>
          <w:rFonts w:ascii="Times New Roman" w:hAnsi="Times New Roman"/>
        </w:rPr>
        <w:t>.</w:t>
      </w:r>
    </w:p>
    <w:p w14:paraId="3AFFB41A" w14:textId="77777777" w:rsidR="000D1663" w:rsidRPr="00246212" w:rsidRDefault="000D1663" w:rsidP="000D1663">
      <w:pPr>
        <w:rPr>
          <w:rFonts w:ascii="Times New Roman" w:hAnsi="Times New Roman"/>
        </w:rPr>
      </w:pPr>
    </w:p>
    <w:p w14:paraId="7EAD3005" w14:textId="77777777" w:rsidR="000D1663" w:rsidRPr="00246212" w:rsidRDefault="00D70FCE" w:rsidP="000D1663">
      <w:pPr>
        <w:rPr>
          <w:rFonts w:ascii="Times New Roman" w:hAnsi="Times New Roman"/>
        </w:rPr>
      </w:pPr>
      <w:r>
        <w:rPr>
          <w:rFonts w:ascii="Times New Roman" w:hAnsi="Times New Roman"/>
        </w:rPr>
        <w:t>2</w:t>
      </w:r>
      <w:r w:rsidR="00485FC5">
        <w:rPr>
          <w:rFonts w:ascii="Times New Roman" w:hAnsi="Times New Roman"/>
        </w:rPr>
        <w:t xml:space="preserve">. </w:t>
      </w:r>
      <w:r w:rsidR="00FC32C8">
        <w:rPr>
          <w:rFonts w:ascii="Times New Roman" w:hAnsi="Times New Roman"/>
        </w:rPr>
        <w:t xml:space="preserve">Patients Newly </w:t>
      </w:r>
      <w:proofErr w:type="gramStart"/>
      <w:r w:rsidR="00FC32C8">
        <w:rPr>
          <w:rFonts w:ascii="Times New Roman" w:hAnsi="Times New Roman"/>
        </w:rPr>
        <w:t>Prescribed</w:t>
      </w:r>
      <w:proofErr w:type="gramEnd"/>
      <w:r w:rsidR="00FC32C8">
        <w:rPr>
          <w:rFonts w:ascii="Times New Roman" w:hAnsi="Times New Roman"/>
        </w:rPr>
        <w:t xml:space="preserve"> with b</w:t>
      </w:r>
      <w:r w:rsidR="00485FC5">
        <w:rPr>
          <w:rFonts w:ascii="Times New Roman" w:hAnsi="Times New Roman"/>
        </w:rPr>
        <w:t>iologic/</w:t>
      </w:r>
      <w:proofErr w:type="spellStart"/>
      <w:r w:rsidR="00485FC5">
        <w:rPr>
          <w:rFonts w:ascii="Times New Roman" w:hAnsi="Times New Roman"/>
        </w:rPr>
        <w:t>tofacitinib</w:t>
      </w:r>
      <w:proofErr w:type="spellEnd"/>
      <w:r w:rsidR="00485FC5">
        <w:rPr>
          <w:rFonts w:ascii="Times New Roman" w:hAnsi="Times New Roman"/>
        </w:rPr>
        <w:t xml:space="preserve"> </w:t>
      </w:r>
    </w:p>
    <w:p w14:paraId="55182334" w14:textId="77777777" w:rsidR="000D1663" w:rsidRPr="00246212" w:rsidRDefault="000D1663" w:rsidP="000D1663">
      <w:pPr>
        <w:rPr>
          <w:rFonts w:ascii="Times New Roman" w:hAnsi="Times New Roman"/>
        </w:rPr>
      </w:pPr>
    </w:p>
    <w:p w14:paraId="1A0B779B" w14:textId="77777777" w:rsidR="006C179D" w:rsidRDefault="00485FC5" w:rsidP="000D1663">
      <w:pPr>
        <w:rPr>
          <w:rFonts w:ascii="Times New Roman" w:hAnsi="Times New Roman"/>
        </w:rPr>
      </w:pPr>
      <w:r>
        <w:rPr>
          <w:rFonts w:ascii="Times New Roman" w:hAnsi="Times New Roman"/>
        </w:rPr>
        <w:lastRenderedPageBreak/>
        <w:t>The definition for</w:t>
      </w:r>
      <w:r w:rsidR="00FC32C8">
        <w:rPr>
          <w:rFonts w:ascii="Times New Roman" w:hAnsi="Times New Roman"/>
        </w:rPr>
        <w:t xml:space="preserve"> the</w:t>
      </w:r>
      <w:r>
        <w:rPr>
          <w:rFonts w:ascii="Times New Roman" w:hAnsi="Times New Roman"/>
        </w:rPr>
        <w:t xml:space="preserve"> biologic/</w:t>
      </w:r>
      <w:proofErr w:type="spellStart"/>
      <w:r>
        <w:rPr>
          <w:rFonts w:ascii="Times New Roman" w:hAnsi="Times New Roman"/>
        </w:rPr>
        <w:t>tofacitinib</w:t>
      </w:r>
      <w:proofErr w:type="spellEnd"/>
      <w:r>
        <w:rPr>
          <w:rFonts w:ascii="Times New Roman" w:hAnsi="Times New Roman"/>
        </w:rPr>
        <w:t xml:space="preserve"> cohort is similar to that for MTX (note that these are 2 independent cohorts</w:t>
      </w:r>
      <w:r w:rsidR="00205E54">
        <w:rPr>
          <w:rFonts w:ascii="Times New Roman" w:hAnsi="Times New Roman"/>
        </w:rPr>
        <w:t xml:space="preserve"> although one patient may be included in both cohorts</w:t>
      </w:r>
      <w:r>
        <w:rPr>
          <w:rFonts w:ascii="Times New Roman" w:hAnsi="Times New Roman"/>
        </w:rPr>
        <w:t xml:space="preserve">). </w:t>
      </w:r>
      <w:r w:rsidR="000D1663" w:rsidRPr="00246212">
        <w:rPr>
          <w:rFonts w:ascii="Times New Roman" w:hAnsi="Times New Roman"/>
        </w:rPr>
        <w:t>Th</w:t>
      </w:r>
      <w:r w:rsidR="00FC32C8">
        <w:rPr>
          <w:rFonts w:ascii="Times New Roman" w:hAnsi="Times New Roman"/>
        </w:rPr>
        <w:t xml:space="preserve">is cohort included patients who received a new prescription for </w:t>
      </w:r>
      <w:r w:rsidR="000D1663" w:rsidRPr="00246212">
        <w:rPr>
          <w:rFonts w:ascii="Times New Roman" w:hAnsi="Times New Roman"/>
        </w:rPr>
        <w:t xml:space="preserve">a biologic </w:t>
      </w:r>
      <w:r w:rsidR="002B7120">
        <w:rPr>
          <w:rFonts w:ascii="Times New Roman" w:hAnsi="Times New Roman"/>
        </w:rPr>
        <w:t xml:space="preserve">(any of the biologics) </w:t>
      </w:r>
      <w:r w:rsidR="000D1663" w:rsidRPr="00246212">
        <w:rPr>
          <w:rFonts w:ascii="Times New Roman" w:hAnsi="Times New Roman"/>
        </w:rPr>
        <w:t xml:space="preserve">or </w:t>
      </w:r>
      <w:proofErr w:type="spellStart"/>
      <w:r w:rsidR="000D1663" w:rsidRPr="00246212">
        <w:rPr>
          <w:rFonts w:ascii="Times New Roman" w:hAnsi="Times New Roman"/>
        </w:rPr>
        <w:t>tofacitinib</w:t>
      </w:r>
      <w:proofErr w:type="spellEnd"/>
      <w:r>
        <w:rPr>
          <w:rFonts w:ascii="Times New Roman" w:hAnsi="Times New Roman"/>
        </w:rPr>
        <w:t xml:space="preserve"> (b/t). </w:t>
      </w:r>
    </w:p>
    <w:p w14:paraId="44F8367F" w14:textId="77777777" w:rsidR="00FC32C8" w:rsidRDefault="00FC32C8" w:rsidP="00FC32C8">
      <w:pPr>
        <w:rPr>
          <w:rFonts w:ascii="Times New Roman" w:hAnsi="Times New Roman"/>
        </w:rPr>
      </w:pPr>
    </w:p>
    <w:p w14:paraId="014F8107" w14:textId="77777777" w:rsidR="00FC32C8" w:rsidRPr="00246212" w:rsidRDefault="00FC32C8" w:rsidP="00FC32C8">
      <w:pPr>
        <w:rPr>
          <w:rFonts w:ascii="Times New Roman" w:hAnsi="Times New Roman"/>
        </w:rPr>
      </w:pPr>
      <w:r w:rsidRPr="00A95ED7">
        <w:rPr>
          <w:rFonts w:ascii="Times New Roman" w:hAnsi="Times New Roman"/>
        </w:rPr>
        <w:t>Inclusions: Patients</w:t>
      </w:r>
      <w:r w:rsidRPr="00246212">
        <w:rPr>
          <w:rFonts w:ascii="Times New Roman" w:hAnsi="Times New Roman"/>
        </w:rPr>
        <w:t xml:space="preserve"> must meet the f</w:t>
      </w:r>
      <w:r>
        <w:rPr>
          <w:rFonts w:ascii="Times New Roman" w:hAnsi="Times New Roman"/>
        </w:rPr>
        <w:t>ollowing criteria: (1) with at least 12</w:t>
      </w:r>
      <w:r w:rsidRPr="00246212">
        <w:rPr>
          <w:rFonts w:ascii="Times New Roman" w:hAnsi="Times New Roman"/>
        </w:rPr>
        <w:t xml:space="preserve"> months of pharmacy and medical insur</w:t>
      </w:r>
      <w:r>
        <w:rPr>
          <w:rFonts w:ascii="Times New Roman" w:hAnsi="Times New Roman"/>
        </w:rPr>
        <w:t xml:space="preserve">ance coverage before and at least 3 months of </w:t>
      </w:r>
      <w:r w:rsidRPr="00246212">
        <w:rPr>
          <w:rFonts w:ascii="Times New Roman" w:hAnsi="Times New Roman"/>
        </w:rPr>
        <w:t>pharmacy and medical insur</w:t>
      </w:r>
      <w:r>
        <w:rPr>
          <w:rFonts w:ascii="Times New Roman" w:hAnsi="Times New Roman"/>
        </w:rPr>
        <w:t>ance coverage after</w:t>
      </w:r>
      <w:r w:rsidRPr="00246212">
        <w:rPr>
          <w:rFonts w:ascii="Times New Roman" w:hAnsi="Times New Roman"/>
        </w:rPr>
        <w:t xml:space="preserve"> </w:t>
      </w:r>
      <w:r>
        <w:rPr>
          <w:rFonts w:ascii="Times New Roman" w:hAnsi="Times New Roman"/>
        </w:rPr>
        <w:t>a new</w:t>
      </w:r>
      <w:r w:rsidRPr="00246212">
        <w:rPr>
          <w:rFonts w:ascii="Times New Roman" w:hAnsi="Times New Roman"/>
        </w:rPr>
        <w:t xml:space="preserve"> </w:t>
      </w:r>
      <w:r>
        <w:rPr>
          <w:rFonts w:ascii="Times New Roman" w:hAnsi="Times New Roman"/>
        </w:rPr>
        <w:t xml:space="preserve">b/t prescription </w:t>
      </w:r>
      <w:r w:rsidR="0094027A">
        <w:rPr>
          <w:rFonts w:ascii="Times New Roman" w:hAnsi="Times New Roman"/>
        </w:rPr>
        <w:t xml:space="preserve">was </w:t>
      </w:r>
      <w:r>
        <w:rPr>
          <w:rFonts w:ascii="Times New Roman" w:hAnsi="Times New Roman"/>
        </w:rPr>
        <w:t>recorded in prescription</w:t>
      </w:r>
      <w:r w:rsidRPr="00246212">
        <w:rPr>
          <w:rFonts w:ascii="Times New Roman" w:hAnsi="Times New Roman"/>
        </w:rPr>
        <w:t xml:space="preserve"> data</w:t>
      </w:r>
      <w:r w:rsidRPr="00246212">
        <w:rPr>
          <w:rStyle w:val="FootnoteReference"/>
          <w:rFonts w:ascii="Times New Roman" w:hAnsi="Times New Roman"/>
        </w:rPr>
        <w:footnoteReference w:id="3"/>
      </w:r>
      <w:r>
        <w:rPr>
          <w:rFonts w:ascii="Times New Roman" w:hAnsi="Times New Roman"/>
        </w:rPr>
        <w:t>; (2</w:t>
      </w:r>
      <w:r w:rsidRPr="00246212">
        <w:rPr>
          <w:rFonts w:ascii="Times New Roman" w:hAnsi="Times New Roman"/>
        </w:rPr>
        <w:t xml:space="preserve">) age </w:t>
      </w:r>
      <w:r>
        <w:rPr>
          <w:rFonts w:ascii="Times New Roman" w:hAnsi="Times New Roman"/>
        </w:rPr>
        <w:t xml:space="preserve">&gt;= 18 at index </w:t>
      </w:r>
      <w:r w:rsidRPr="00246212">
        <w:rPr>
          <w:rFonts w:ascii="Times New Roman" w:hAnsi="Times New Roman"/>
        </w:rPr>
        <w:t>date</w:t>
      </w:r>
      <w:r>
        <w:rPr>
          <w:rFonts w:ascii="Times New Roman" w:hAnsi="Times New Roman"/>
        </w:rPr>
        <w:t xml:space="preserve">; (3) at least 2 RA diagnoses made by a physician in medical claims </w:t>
      </w:r>
      <w:r w:rsidRPr="00246212">
        <w:rPr>
          <w:rFonts w:ascii="Times New Roman" w:hAnsi="Times New Roman"/>
        </w:rPr>
        <w:t xml:space="preserve">that occurred </w:t>
      </w:r>
      <w:r>
        <w:rPr>
          <w:rFonts w:ascii="Times New Roman" w:hAnsi="Times New Roman"/>
        </w:rPr>
        <w:t>7 days apart between index-12 months and index+3 months</w:t>
      </w:r>
      <w:r w:rsidRPr="00246212">
        <w:rPr>
          <w:rFonts w:ascii="Times New Roman" w:hAnsi="Times New Roman"/>
        </w:rPr>
        <w:t xml:space="preserve">. </w:t>
      </w:r>
    </w:p>
    <w:p w14:paraId="6215A9AE" w14:textId="77777777" w:rsidR="00FC32C8" w:rsidRPr="00246212" w:rsidRDefault="00FC32C8" w:rsidP="00FC32C8">
      <w:pPr>
        <w:rPr>
          <w:rFonts w:ascii="Times New Roman" w:hAnsi="Times New Roman"/>
        </w:rPr>
      </w:pPr>
    </w:p>
    <w:p w14:paraId="741B64A1" w14:textId="5A9E0457" w:rsidR="00FC32C8" w:rsidRPr="00246212" w:rsidRDefault="00FC32C8" w:rsidP="00FC32C8">
      <w:pPr>
        <w:rPr>
          <w:rFonts w:ascii="Times New Roman" w:hAnsi="Times New Roman"/>
        </w:rPr>
      </w:pPr>
      <w:r w:rsidRPr="00A95ED7">
        <w:rPr>
          <w:rFonts w:ascii="Times New Roman" w:hAnsi="Times New Roman"/>
        </w:rPr>
        <w:t>Exclusions</w:t>
      </w:r>
      <w:r w:rsidRPr="00246212">
        <w:rPr>
          <w:rFonts w:ascii="Times New Roman" w:hAnsi="Times New Roman"/>
        </w:rPr>
        <w:t xml:space="preserve">: </w:t>
      </w:r>
      <w:r>
        <w:rPr>
          <w:rFonts w:ascii="Times New Roman" w:hAnsi="Times New Roman"/>
        </w:rPr>
        <w:t xml:space="preserve">(1) Using pharmacy and medical claims, any filling or administration of a </w:t>
      </w:r>
      <w:r w:rsidRPr="00246212">
        <w:rPr>
          <w:rFonts w:ascii="Times New Roman" w:hAnsi="Times New Roman"/>
        </w:rPr>
        <w:t>biologi</w:t>
      </w:r>
      <w:r>
        <w:rPr>
          <w:rFonts w:ascii="Times New Roman" w:hAnsi="Times New Roman"/>
        </w:rPr>
        <w:t xml:space="preserve">c agent or </w:t>
      </w:r>
      <w:proofErr w:type="spellStart"/>
      <w:r>
        <w:rPr>
          <w:rFonts w:ascii="Times New Roman" w:hAnsi="Times New Roman"/>
        </w:rPr>
        <w:t>tofacitinab</w:t>
      </w:r>
      <w:proofErr w:type="spellEnd"/>
      <w:r>
        <w:rPr>
          <w:rFonts w:ascii="Times New Roman" w:hAnsi="Times New Roman"/>
        </w:rPr>
        <w:t xml:space="preserve"> during the period before </w:t>
      </w:r>
      <w:r w:rsidRPr="00246212">
        <w:rPr>
          <w:rFonts w:ascii="Times New Roman" w:hAnsi="Times New Roman"/>
        </w:rPr>
        <w:t>index</w:t>
      </w:r>
      <w:r>
        <w:rPr>
          <w:rFonts w:ascii="Times New Roman" w:hAnsi="Times New Roman"/>
        </w:rPr>
        <w:t xml:space="preserve"> date as long as </w:t>
      </w:r>
      <w:r w:rsidRPr="00246212">
        <w:rPr>
          <w:rFonts w:ascii="Times New Roman" w:hAnsi="Times New Roman"/>
        </w:rPr>
        <w:t>a patient had full medical and pharmacy coverage</w:t>
      </w:r>
      <w:r>
        <w:rPr>
          <w:rFonts w:ascii="Times New Roman" w:hAnsi="Times New Roman"/>
        </w:rPr>
        <w:t xml:space="preserve"> (which </w:t>
      </w:r>
      <w:r w:rsidR="00A83861">
        <w:rPr>
          <w:rFonts w:ascii="Times New Roman" w:hAnsi="Times New Roman"/>
        </w:rPr>
        <w:t>may</w:t>
      </w:r>
      <w:r>
        <w:rPr>
          <w:rFonts w:ascii="Times New Roman" w:hAnsi="Times New Roman"/>
        </w:rPr>
        <w:t xml:space="preserve"> exceed 11 months in some cases depending on data availability); (2) </w:t>
      </w:r>
      <w:r w:rsidRPr="00246212">
        <w:rPr>
          <w:rFonts w:ascii="Times New Roman" w:hAnsi="Times New Roman"/>
        </w:rPr>
        <w:t xml:space="preserve">Using </w:t>
      </w:r>
      <w:r>
        <w:rPr>
          <w:rFonts w:ascii="Times New Roman" w:hAnsi="Times New Roman"/>
        </w:rPr>
        <w:t xml:space="preserve">medical claims, </w:t>
      </w:r>
      <w:r w:rsidRPr="00246212">
        <w:rPr>
          <w:rFonts w:ascii="Times New Roman" w:hAnsi="Times New Roman"/>
        </w:rPr>
        <w:t xml:space="preserve">patients with diagnoses of psoriasis or psoriatic arthritis (696.x), inflammatory </w:t>
      </w:r>
      <w:r>
        <w:rPr>
          <w:rFonts w:ascii="Times New Roman" w:hAnsi="Times New Roman"/>
        </w:rPr>
        <w:t>bowel disease (555.x, 556.x),</w:t>
      </w:r>
      <w:r w:rsidRPr="00246212">
        <w:rPr>
          <w:rFonts w:ascii="Times New Roman" w:hAnsi="Times New Roman"/>
        </w:rPr>
        <w:t xml:space="preserve"> ankylosing spondylitis (720.x)</w:t>
      </w:r>
      <w:r>
        <w:rPr>
          <w:rFonts w:ascii="Times New Roman" w:hAnsi="Times New Roman"/>
        </w:rPr>
        <w:t xml:space="preserve">, or </w:t>
      </w:r>
      <w:r w:rsidRPr="00246212">
        <w:rPr>
          <w:rFonts w:ascii="Times New Roman" w:hAnsi="Times New Roman"/>
        </w:rPr>
        <w:t>cancer (ICD9 140.x – 208.x, other than 173.x [n</w:t>
      </w:r>
      <w:r>
        <w:rPr>
          <w:rFonts w:ascii="Times New Roman" w:hAnsi="Times New Roman"/>
        </w:rPr>
        <w:t>on-melanoma skin cancer is ok</w:t>
      </w:r>
      <w:r w:rsidRPr="00246212">
        <w:rPr>
          <w:rFonts w:ascii="Times New Roman" w:hAnsi="Times New Roman"/>
        </w:rPr>
        <w:t>])</w:t>
      </w:r>
      <w:r w:rsidRPr="004A7703">
        <w:rPr>
          <w:rFonts w:ascii="Times New Roman" w:hAnsi="Times New Roman"/>
        </w:rPr>
        <w:t xml:space="preserve"> </w:t>
      </w:r>
      <w:r>
        <w:rPr>
          <w:rFonts w:ascii="Times New Roman" w:hAnsi="Times New Roman"/>
        </w:rPr>
        <w:t>at least 12</w:t>
      </w:r>
      <w:r w:rsidRPr="00246212">
        <w:rPr>
          <w:rFonts w:ascii="Times New Roman" w:hAnsi="Times New Roman"/>
        </w:rPr>
        <w:t xml:space="preserve"> months </w:t>
      </w:r>
      <w:r>
        <w:rPr>
          <w:rFonts w:ascii="Times New Roman" w:hAnsi="Times New Roman"/>
        </w:rPr>
        <w:t xml:space="preserve">before </w:t>
      </w:r>
      <w:r w:rsidRPr="00246212">
        <w:rPr>
          <w:rFonts w:ascii="Times New Roman" w:hAnsi="Times New Roman"/>
        </w:rPr>
        <w:t>index</w:t>
      </w:r>
      <w:r>
        <w:rPr>
          <w:rFonts w:ascii="Times New Roman" w:hAnsi="Times New Roman"/>
        </w:rPr>
        <w:t xml:space="preserve"> date</w:t>
      </w:r>
      <w:r w:rsidRPr="00246212">
        <w:rPr>
          <w:rFonts w:ascii="Times New Roman" w:hAnsi="Times New Roman"/>
        </w:rPr>
        <w:t xml:space="preserve"> as long as a patient had full medical and pharmacy coverage</w:t>
      </w:r>
      <w:r>
        <w:rPr>
          <w:rFonts w:ascii="Times New Roman" w:hAnsi="Times New Roman"/>
        </w:rPr>
        <w:t>; (4)</w:t>
      </w:r>
      <w:r w:rsidRPr="00246212">
        <w:rPr>
          <w:rFonts w:ascii="Times New Roman" w:hAnsi="Times New Roman"/>
        </w:rPr>
        <w:t xml:space="preserve"> Patients w</w:t>
      </w:r>
      <w:r>
        <w:rPr>
          <w:rFonts w:ascii="Times New Roman" w:hAnsi="Times New Roman"/>
        </w:rPr>
        <w:t xml:space="preserve">ith incomplete EHR data </w:t>
      </w:r>
      <w:r w:rsidR="0094027A">
        <w:rPr>
          <w:rFonts w:ascii="Times New Roman" w:hAnsi="Times New Roman"/>
        </w:rPr>
        <w:t>between index-12 months and index+3 months.</w:t>
      </w:r>
      <w:r w:rsidRPr="00246212">
        <w:rPr>
          <w:rFonts w:ascii="Times New Roman" w:hAnsi="Times New Roman"/>
        </w:rPr>
        <w:t xml:space="preserve"> </w:t>
      </w:r>
    </w:p>
    <w:p w14:paraId="59F079C9" w14:textId="77777777" w:rsidR="00485FC5" w:rsidRDefault="00485FC5" w:rsidP="002B7120">
      <w:pPr>
        <w:rPr>
          <w:rFonts w:ascii="Times New Roman" w:hAnsi="Times New Roman"/>
        </w:rPr>
      </w:pPr>
    </w:p>
    <w:p w14:paraId="797CF340" w14:textId="77777777" w:rsidR="002B7120" w:rsidRPr="00246212" w:rsidRDefault="002B7120" w:rsidP="002B7120">
      <w:pPr>
        <w:rPr>
          <w:rFonts w:ascii="Times New Roman" w:hAnsi="Times New Roman"/>
        </w:rPr>
      </w:pPr>
      <w:r>
        <w:rPr>
          <w:rFonts w:ascii="Times New Roman" w:hAnsi="Times New Roman"/>
        </w:rPr>
        <w:t>The 12 months preceding</w:t>
      </w:r>
      <w:r w:rsidRPr="00246212">
        <w:rPr>
          <w:rFonts w:ascii="Times New Roman" w:hAnsi="Times New Roman"/>
        </w:rPr>
        <w:t xml:space="preserve"> </w:t>
      </w:r>
      <w:r>
        <w:rPr>
          <w:rFonts w:ascii="Times New Roman" w:hAnsi="Times New Roman"/>
        </w:rPr>
        <w:t xml:space="preserve">b/t </w:t>
      </w:r>
      <w:r w:rsidRPr="00246212">
        <w:rPr>
          <w:rFonts w:ascii="Times New Roman" w:hAnsi="Times New Roman"/>
        </w:rPr>
        <w:t xml:space="preserve">index date </w:t>
      </w:r>
      <w:r>
        <w:rPr>
          <w:rFonts w:ascii="Times New Roman" w:hAnsi="Times New Roman"/>
        </w:rPr>
        <w:t xml:space="preserve">was defined as b/t </w:t>
      </w:r>
      <w:r w:rsidRPr="00246212">
        <w:rPr>
          <w:rFonts w:ascii="Times New Roman" w:hAnsi="Times New Roman"/>
        </w:rPr>
        <w:t xml:space="preserve">baseline period. Note that in some cases, we </w:t>
      </w:r>
      <w:r>
        <w:rPr>
          <w:rFonts w:ascii="Times New Roman" w:hAnsi="Times New Roman"/>
        </w:rPr>
        <w:t xml:space="preserve">include information during the 12-month baseline </w:t>
      </w:r>
      <w:r w:rsidRPr="00246212">
        <w:rPr>
          <w:rFonts w:ascii="Times New Roman" w:hAnsi="Times New Roman"/>
        </w:rPr>
        <w:t xml:space="preserve">as well as </w:t>
      </w:r>
      <w:r>
        <w:rPr>
          <w:rFonts w:ascii="Times New Roman" w:hAnsi="Times New Roman"/>
        </w:rPr>
        <w:t xml:space="preserve">the </w:t>
      </w:r>
      <w:r w:rsidRPr="00246212">
        <w:rPr>
          <w:rFonts w:ascii="Times New Roman" w:hAnsi="Times New Roman"/>
        </w:rPr>
        <w:t>months before that as long as a patient had full pharmacy and medical coverage.</w:t>
      </w:r>
    </w:p>
    <w:p w14:paraId="498CD948" w14:textId="77777777" w:rsidR="0073145A" w:rsidRDefault="0073145A" w:rsidP="000D1663">
      <w:pPr>
        <w:rPr>
          <w:rFonts w:ascii="Times New Roman" w:hAnsi="Times New Roman"/>
        </w:rPr>
      </w:pPr>
    </w:p>
    <w:p w14:paraId="3B7882E3" w14:textId="77777777" w:rsidR="00481FD3" w:rsidRDefault="0073145A" w:rsidP="000D1663">
      <w:pPr>
        <w:rPr>
          <w:rFonts w:ascii="Times New Roman" w:eastAsia="Times New Roman" w:hAnsi="Times New Roman"/>
        </w:rPr>
      </w:pPr>
      <w:r>
        <w:rPr>
          <w:rFonts w:ascii="Times New Roman" w:hAnsi="Times New Roman"/>
        </w:rPr>
        <w:t xml:space="preserve">In </w:t>
      </w:r>
      <w:r w:rsidR="00481FD3">
        <w:rPr>
          <w:rFonts w:ascii="Times New Roman" w:hAnsi="Times New Roman"/>
        </w:rPr>
        <w:t>both cohorts</w:t>
      </w:r>
      <w:r w:rsidR="00DF3BEB">
        <w:rPr>
          <w:rFonts w:ascii="Times New Roman" w:hAnsi="Times New Roman"/>
        </w:rPr>
        <w:t xml:space="preserve"> </w:t>
      </w:r>
      <w:r w:rsidR="0094027A">
        <w:rPr>
          <w:rFonts w:ascii="Times New Roman" w:hAnsi="Times New Roman"/>
        </w:rPr>
        <w:t>defined above</w:t>
      </w:r>
      <w:r w:rsidR="00481FD3">
        <w:rPr>
          <w:rFonts w:ascii="Times New Roman" w:hAnsi="Times New Roman"/>
        </w:rPr>
        <w:t xml:space="preserve">, </w:t>
      </w:r>
      <w:r w:rsidR="0094027A">
        <w:rPr>
          <w:rFonts w:ascii="Times New Roman" w:eastAsia="Times New Roman" w:hAnsi="Times New Roman"/>
        </w:rPr>
        <w:t>we conduct</w:t>
      </w:r>
      <w:r w:rsidR="00481FD3">
        <w:rPr>
          <w:rFonts w:ascii="Times New Roman" w:eastAsia="Times New Roman" w:hAnsi="Times New Roman"/>
        </w:rPr>
        <w:t xml:space="preserve"> the search</w:t>
      </w:r>
      <w:r w:rsidR="00DF3BEB">
        <w:rPr>
          <w:rFonts w:ascii="Times New Roman" w:eastAsia="Times New Roman" w:hAnsi="Times New Roman"/>
        </w:rPr>
        <w:t xml:space="preserve"> for the first evidence of drug </w:t>
      </w:r>
      <w:r>
        <w:rPr>
          <w:rFonts w:ascii="Times New Roman" w:eastAsia="Times New Roman" w:hAnsi="Times New Roman"/>
        </w:rPr>
        <w:t>prescription</w:t>
      </w:r>
      <w:r w:rsidR="00481FD3">
        <w:rPr>
          <w:rFonts w:ascii="Times New Roman" w:eastAsia="Times New Roman" w:hAnsi="Times New Roman"/>
        </w:rPr>
        <w:t xml:space="preserve"> starting from 2007 forward. If a patient </w:t>
      </w:r>
      <w:r w:rsidR="00DF3BEB">
        <w:rPr>
          <w:rFonts w:ascii="Times New Roman" w:eastAsia="Times New Roman" w:hAnsi="Times New Roman"/>
        </w:rPr>
        <w:t>had</w:t>
      </w:r>
      <w:r w:rsidR="00481FD3">
        <w:rPr>
          <w:rFonts w:ascii="Times New Roman" w:eastAsia="Times New Roman" w:hAnsi="Times New Roman"/>
        </w:rPr>
        <w:t xml:space="preserve"> multiple episodes meeting the sample selection criteria, </w:t>
      </w:r>
      <w:r w:rsidR="00887A74">
        <w:rPr>
          <w:rFonts w:ascii="Times New Roman" w:eastAsia="Times New Roman" w:hAnsi="Times New Roman"/>
        </w:rPr>
        <w:t>we</w:t>
      </w:r>
      <w:r w:rsidR="00481FD3">
        <w:rPr>
          <w:rFonts w:ascii="Times New Roman" w:eastAsia="Times New Roman" w:hAnsi="Times New Roman"/>
        </w:rPr>
        <w:t xml:space="preserve"> </w:t>
      </w:r>
      <w:r w:rsidR="0094027A">
        <w:rPr>
          <w:rFonts w:ascii="Times New Roman" w:eastAsia="Times New Roman" w:hAnsi="Times New Roman"/>
        </w:rPr>
        <w:t>keep</w:t>
      </w:r>
      <w:r w:rsidR="00481FD3">
        <w:rPr>
          <w:rFonts w:ascii="Times New Roman" w:eastAsia="Times New Roman" w:hAnsi="Times New Roman"/>
        </w:rPr>
        <w:t xml:space="preserve"> the very first episode and discard the </w:t>
      </w:r>
      <w:r w:rsidR="00DF3BEB">
        <w:rPr>
          <w:rFonts w:ascii="Times New Roman" w:eastAsia="Times New Roman" w:hAnsi="Times New Roman"/>
        </w:rPr>
        <w:t>subsequent</w:t>
      </w:r>
      <w:r w:rsidR="00481FD3">
        <w:rPr>
          <w:rFonts w:ascii="Times New Roman" w:eastAsia="Times New Roman" w:hAnsi="Times New Roman"/>
        </w:rPr>
        <w:t xml:space="preserve"> ones. This ensure</w:t>
      </w:r>
      <w:r w:rsidR="0094027A">
        <w:rPr>
          <w:rFonts w:ascii="Times New Roman" w:eastAsia="Times New Roman" w:hAnsi="Times New Roman"/>
        </w:rPr>
        <w:t>s t</w:t>
      </w:r>
      <w:r w:rsidR="00DF3BEB">
        <w:rPr>
          <w:rFonts w:ascii="Times New Roman" w:eastAsia="Times New Roman" w:hAnsi="Times New Roman"/>
        </w:rPr>
        <w:t xml:space="preserve">hat the sample </w:t>
      </w:r>
      <w:r w:rsidR="0094027A">
        <w:rPr>
          <w:rFonts w:ascii="Times New Roman" w:eastAsia="Times New Roman" w:hAnsi="Times New Roman"/>
        </w:rPr>
        <w:t>only includes</w:t>
      </w:r>
      <w:r w:rsidR="00DF3BEB">
        <w:rPr>
          <w:rFonts w:ascii="Times New Roman" w:eastAsia="Times New Roman" w:hAnsi="Times New Roman"/>
        </w:rPr>
        <w:t xml:space="preserve"> </w:t>
      </w:r>
      <w:r w:rsidR="00481FD3">
        <w:rPr>
          <w:rFonts w:ascii="Times New Roman" w:eastAsia="Times New Roman" w:hAnsi="Times New Roman"/>
        </w:rPr>
        <w:t xml:space="preserve">patients </w:t>
      </w:r>
      <w:r w:rsidR="00DF3BEB">
        <w:rPr>
          <w:rFonts w:ascii="Times New Roman" w:eastAsia="Times New Roman" w:hAnsi="Times New Roman"/>
        </w:rPr>
        <w:t>at the earliest stage of disease</w:t>
      </w:r>
      <w:r w:rsidR="0094027A">
        <w:rPr>
          <w:rFonts w:ascii="Times New Roman" w:eastAsia="Times New Roman" w:hAnsi="Times New Roman"/>
        </w:rPr>
        <w:t xml:space="preserve"> possible</w:t>
      </w:r>
      <w:r w:rsidR="00DF3BEB">
        <w:rPr>
          <w:rFonts w:ascii="Times New Roman" w:eastAsia="Times New Roman" w:hAnsi="Times New Roman"/>
        </w:rPr>
        <w:t xml:space="preserve"> allowed by the data rather</w:t>
      </w:r>
      <w:r w:rsidR="00481FD3">
        <w:rPr>
          <w:rFonts w:ascii="Times New Roman" w:eastAsia="Times New Roman" w:hAnsi="Times New Roman"/>
        </w:rPr>
        <w:t xml:space="preserve"> than late stage recalcitrant </w:t>
      </w:r>
      <w:r w:rsidR="00BC2422">
        <w:rPr>
          <w:rFonts w:ascii="Times New Roman" w:eastAsia="Times New Roman" w:hAnsi="Times New Roman"/>
        </w:rPr>
        <w:t>patients</w:t>
      </w:r>
      <w:r w:rsidR="00481FD3">
        <w:rPr>
          <w:rFonts w:ascii="Times New Roman" w:eastAsia="Times New Roman" w:hAnsi="Times New Roman"/>
        </w:rPr>
        <w:t>.</w:t>
      </w:r>
      <w:r w:rsidR="00481FD3" w:rsidRPr="00376627">
        <w:rPr>
          <w:rFonts w:ascii="Times New Roman" w:eastAsia="Times New Roman" w:hAnsi="Times New Roman"/>
        </w:rPr>
        <w:t xml:space="preserve"> </w:t>
      </w:r>
    </w:p>
    <w:p w14:paraId="19420F3D" w14:textId="77777777" w:rsidR="00DF3BEB" w:rsidRDefault="00DF3BEB" w:rsidP="000D1663">
      <w:pPr>
        <w:rPr>
          <w:rFonts w:ascii="Times New Roman" w:eastAsia="Times New Roman" w:hAnsi="Times New Roman"/>
        </w:rPr>
      </w:pPr>
    </w:p>
    <w:p w14:paraId="164F69A9" w14:textId="77777777" w:rsidR="00DF3BEB" w:rsidRPr="0073145A" w:rsidRDefault="0073145A" w:rsidP="0073145A">
      <w:pPr>
        <w:pStyle w:val="ListParagraph"/>
        <w:numPr>
          <w:ilvl w:val="0"/>
          <w:numId w:val="17"/>
        </w:numPr>
        <w:rPr>
          <w:rFonts w:ascii="Times New Roman" w:eastAsia="Times New Roman" w:hAnsi="Times New Roman"/>
        </w:rPr>
      </w:pPr>
      <w:proofErr w:type="spellStart"/>
      <w:r w:rsidRPr="0073145A">
        <w:rPr>
          <w:rFonts w:ascii="Times New Roman" w:eastAsia="Times New Roman" w:hAnsi="Times New Roman"/>
        </w:rPr>
        <w:t>Subcohorts</w:t>
      </w:r>
      <w:proofErr w:type="spellEnd"/>
      <w:r w:rsidRPr="0073145A">
        <w:rPr>
          <w:rFonts w:ascii="Times New Roman" w:eastAsia="Times New Roman" w:hAnsi="Times New Roman"/>
        </w:rPr>
        <w:t xml:space="preserve"> of </w:t>
      </w:r>
      <w:r w:rsidR="0094027A">
        <w:rPr>
          <w:rFonts w:ascii="Times New Roman" w:eastAsia="Times New Roman" w:hAnsi="Times New Roman"/>
        </w:rPr>
        <w:t>p</w:t>
      </w:r>
      <w:r w:rsidR="00DF3BEB" w:rsidRPr="0073145A">
        <w:rPr>
          <w:rFonts w:ascii="Times New Roman" w:eastAsia="Times New Roman" w:hAnsi="Times New Roman"/>
        </w:rPr>
        <w:t xml:space="preserve">atients </w:t>
      </w:r>
      <w:r w:rsidR="0094027A">
        <w:rPr>
          <w:rFonts w:ascii="Times New Roman" w:eastAsia="Times New Roman" w:hAnsi="Times New Roman"/>
        </w:rPr>
        <w:t>who initiated</w:t>
      </w:r>
      <w:r w:rsidR="00DF3BEB" w:rsidRPr="0073145A">
        <w:rPr>
          <w:rFonts w:ascii="Times New Roman" w:eastAsia="Times New Roman" w:hAnsi="Times New Roman"/>
        </w:rPr>
        <w:t xml:space="preserve"> MTX</w:t>
      </w:r>
      <w:r w:rsidRPr="0073145A">
        <w:rPr>
          <w:rFonts w:ascii="Times New Roman" w:eastAsia="Times New Roman" w:hAnsi="Times New Roman"/>
        </w:rPr>
        <w:t xml:space="preserve"> and biologics/</w:t>
      </w:r>
      <w:proofErr w:type="spellStart"/>
      <w:r w:rsidRPr="0073145A">
        <w:rPr>
          <w:rFonts w:ascii="Times New Roman" w:eastAsia="Times New Roman" w:hAnsi="Times New Roman"/>
        </w:rPr>
        <w:t>tofacitinib</w:t>
      </w:r>
      <w:proofErr w:type="spellEnd"/>
    </w:p>
    <w:p w14:paraId="7F952B58" w14:textId="77777777" w:rsidR="00180F11" w:rsidRDefault="00180F11" w:rsidP="0097648B">
      <w:pPr>
        <w:rPr>
          <w:rFonts w:ascii="Times New Roman" w:eastAsia="Times New Roman" w:hAnsi="Times New Roman"/>
        </w:rPr>
      </w:pPr>
    </w:p>
    <w:p w14:paraId="18ACBC97" w14:textId="26A8CDB3" w:rsidR="00DF3BEB" w:rsidRDefault="0094027A" w:rsidP="0097648B">
      <w:pPr>
        <w:rPr>
          <w:rFonts w:ascii="Times New Roman" w:eastAsia="Times New Roman" w:hAnsi="Times New Roman"/>
        </w:rPr>
      </w:pPr>
      <w:r>
        <w:rPr>
          <w:rFonts w:ascii="Times New Roman" w:eastAsia="Times New Roman" w:hAnsi="Times New Roman"/>
        </w:rPr>
        <w:t>The</w:t>
      </w:r>
      <w:r w:rsidR="00DF3BEB">
        <w:rPr>
          <w:rFonts w:ascii="Times New Roman" w:eastAsia="Times New Roman" w:hAnsi="Times New Roman"/>
        </w:rPr>
        <w:t xml:space="preserve"> </w:t>
      </w:r>
      <w:proofErr w:type="spellStart"/>
      <w:r w:rsidR="0073145A">
        <w:rPr>
          <w:rFonts w:ascii="Times New Roman" w:eastAsia="Times New Roman" w:hAnsi="Times New Roman"/>
        </w:rPr>
        <w:t>sub</w:t>
      </w:r>
      <w:r w:rsidR="00DF3BEB">
        <w:rPr>
          <w:rFonts w:ascii="Times New Roman" w:eastAsia="Times New Roman" w:hAnsi="Times New Roman"/>
        </w:rPr>
        <w:t>cohort</w:t>
      </w:r>
      <w:proofErr w:type="spellEnd"/>
      <w:r w:rsidR="00DF3BEB">
        <w:rPr>
          <w:rFonts w:ascii="Times New Roman" w:eastAsia="Times New Roman" w:hAnsi="Times New Roman"/>
        </w:rPr>
        <w:t xml:space="preserve"> of patients newly </w:t>
      </w:r>
      <w:r w:rsidR="0073145A">
        <w:rPr>
          <w:rFonts w:ascii="Times New Roman" w:eastAsia="Times New Roman" w:hAnsi="Times New Roman"/>
        </w:rPr>
        <w:t>treated</w:t>
      </w:r>
      <w:r w:rsidR="00DF3BEB">
        <w:rPr>
          <w:rFonts w:ascii="Times New Roman" w:eastAsia="Times New Roman" w:hAnsi="Times New Roman"/>
        </w:rPr>
        <w:t xml:space="preserve"> with MTX</w:t>
      </w:r>
      <w:r w:rsidR="0073145A">
        <w:rPr>
          <w:rFonts w:ascii="Times New Roman" w:eastAsia="Times New Roman" w:hAnsi="Times New Roman"/>
        </w:rPr>
        <w:t xml:space="preserve"> (b/t)</w:t>
      </w:r>
      <w:r w:rsidR="00DF3BEB">
        <w:rPr>
          <w:rFonts w:ascii="Times New Roman" w:eastAsia="Times New Roman" w:hAnsi="Times New Roman"/>
        </w:rPr>
        <w:t xml:space="preserve"> </w:t>
      </w:r>
      <w:r w:rsidR="0073145A">
        <w:rPr>
          <w:rFonts w:ascii="Times New Roman" w:eastAsia="Times New Roman" w:hAnsi="Times New Roman"/>
        </w:rPr>
        <w:t xml:space="preserve">includes patients from the cohort newly prescribed with MTX (b/t) who initiated </w:t>
      </w:r>
      <w:r>
        <w:rPr>
          <w:rFonts w:ascii="Times New Roman" w:eastAsia="Times New Roman" w:hAnsi="Times New Roman"/>
        </w:rPr>
        <w:t xml:space="preserve">the </w:t>
      </w:r>
      <w:r w:rsidR="0073145A">
        <w:rPr>
          <w:rFonts w:ascii="Times New Roman" w:eastAsia="Times New Roman" w:hAnsi="Times New Roman"/>
        </w:rPr>
        <w:t xml:space="preserve">treatment within </w:t>
      </w:r>
      <w:r w:rsidR="00FF2911">
        <w:rPr>
          <w:rFonts w:ascii="Times New Roman" w:eastAsia="Times New Roman" w:hAnsi="Times New Roman"/>
        </w:rPr>
        <w:t>2</w:t>
      </w:r>
      <w:r w:rsidR="0073145A">
        <w:rPr>
          <w:rFonts w:ascii="Times New Roman" w:eastAsia="Times New Roman" w:hAnsi="Times New Roman"/>
        </w:rPr>
        <w:t xml:space="preserve"> months</w:t>
      </w:r>
      <w:r w:rsidR="00FF2911">
        <w:rPr>
          <w:rFonts w:ascii="Times New Roman" w:eastAsia="Times New Roman" w:hAnsi="Times New Roman"/>
        </w:rPr>
        <w:t xml:space="preserve"> for MTX and 3 months for b/t</w:t>
      </w:r>
      <w:r w:rsidR="0073145A">
        <w:rPr>
          <w:rFonts w:ascii="Times New Roman" w:eastAsia="Times New Roman" w:hAnsi="Times New Roman"/>
        </w:rPr>
        <w:t xml:space="preserve">. </w:t>
      </w:r>
      <w:r w:rsidR="00DF3BEB">
        <w:rPr>
          <w:rFonts w:ascii="Times New Roman" w:eastAsia="Times New Roman" w:hAnsi="Times New Roman"/>
        </w:rPr>
        <w:t xml:space="preserve">The rest of the sample selection criteria </w:t>
      </w:r>
      <w:r w:rsidR="0073145A">
        <w:rPr>
          <w:rFonts w:ascii="Times New Roman" w:eastAsia="Times New Roman" w:hAnsi="Times New Roman"/>
        </w:rPr>
        <w:t>are</w:t>
      </w:r>
      <w:r w:rsidR="00DF3BEB">
        <w:rPr>
          <w:rFonts w:ascii="Times New Roman" w:eastAsia="Times New Roman" w:hAnsi="Times New Roman"/>
        </w:rPr>
        <w:t xml:space="preserve"> the same except that we </w:t>
      </w:r>
      <w:r w:rsidR="0073145A">
        <w:rPr>
          <w:rFonts w:ascii="Times New Roman" w:eastAsia="Times New Roman" w:hAnsi="Times New Roman"/>
        </w:rPr>
        <w:t>r</w:t>
      </w:r>
      <w:r w:rsidR="001E192D">
        <w:rPr>
          <w:rFonts w:ascii="Times New Roman" w:eastAsia="Times New Roman" w:hAnsi="Times New Roman"/>
        </w:rPr>
        <w:t>equire 6</w:t>
      </w:r>
      <w:r w:rsidR="0073145A">
        <w:rPr>
          <w:rFonts w:ascii="Times New Roman" w:eastAsia="Times New Roman" w:hAnsi="Times New Roman"/>
        </w:rPr>
        <w:t xml:space="preserve"> months </w:t>
      </w:r>
      <w:r w:rsidR="00DF3BEB">
        <w:rPr>
          <w:rFonts w:ascii="Times New Roman" w:eastAsia="Times New Roman" w:hAnsi="Times New Roman"/>
        </w:rPr>
        <w:t xml:space="preserve">of continuous enrollment with medical and pharmacy benefits after </w:t>
      </w:r>
      <w:r w:rsidR="0073145A">
        <w:rPr>
          <w:rFonts w:ascii="Times New Roman" w:eastAsia="Times New Roman" w:hAnsi="Times New Roman"/>
        </w:rPr>
        <w:t>drug initiation</w:t>
      </w:r>
      <w:r>
        <w:rPr>
          <w:rFonts w:ascii="Times New Roman" w:eastAsia="Times New Roman" w:hAnsi="Times New Roman"/>
        </w:rPr>
        <w:t xml:space="preserve"> in order to observe actual persistence (since death is allowed to happen anytime, in </w:t>
      </w:r>
      <w:r w:rsidR="00FF2911">
        <w:rPr>
          <w:rFonts w:ascii="Times New Roman" w:eastAsia="Times New Roman" w:hAnsi="Times New Roman"/>
        </w:rPr>
        <w:t>such</w:t>
      </w:r>
      <w:r>
        <w:rPr>
          <w:rFonts w:ascii="Times New Roman" w:eastAsia="Times New Roman" w:hAnsi="Times New Roman"/>
        </w:rPr>
        <w:t xml:space="preserve"> cases, actua</w:t>
      </w:r>
      <w:r w:rsidR="001E192D">
        <w:rPr>
          <w:rFonts w:ascii="Times New Roman" w:eastAsia="Times New Roman" w:hAnsi="Times New Roman"/>
        </w:rPr>
        <w:t>l enrollment can be less than 6</w:t>
      </w:r>
      <w:r>
        <w:rPr>
          <w:rFonts w:ascii="Times New Roman" w:eastAsia="Times New Roman" w:hAnsi="Times New Roman"/>
        </w:rPr>
        <w:t xml:space="preserve"> months).</w:t>
      </w:r>
      <w:r w:rsidR="0073145A">
        <w:rPr>
          <w:rFonts w:ascii="Times New Roman" w:eastAsia="Times New Roman" w:hAnsi="Times New Roman"/>
        </w:rPr>
        <w:t xml:space="preserve"> </w:t>
      </w:r>
      <w:r w:rsidR="00BC2422">
        <w:rPr>
          <w:rFonts w:ascii="Times New Roman" w:eastAsia="Times New Roman" w:hAnsi="Times New Roman"/>
        </w:rPr>
        <w:t xml:space="preserve">Persistence of MTX, biologics and </w:t>
      </w:r>
      <w:proofErr w:type="spellStart"/>
      <w:r w:rsidR="00BC2422">
        <w:rPr>
          <w:rFonts w:ascii="Times New Roman" w:eastAsia="Times New Roman" w:hAnsi="Times New Roman"/>
        </w:rPr>
        <w:t>tofacitinib</w:t>
      </w:r>
      <w:proofErr w:type="spellEnd"/>
      <w:r w:rsidR="00BC2422">
        <w:rPr>
          <w:rFonts w:ascii="Times New Roman" w:eastAsia="Times New Roman" w:hAnsi="Times New Roman"/>
        </w:rPr>
        <w:t xml:space="preserve"> is evaluated based on pharmacy and medical claims.</w:t>
      </w:r>
    </w:p>
    <w:p w14:paraId="35CBBCCE" w14:textId="77777777" w:rsidR="00DF3BEB" w:rsidRDefault="00DF3BEB" w:rsidP="00F273E3">
      <w:pPr>
        <w:rPr>
          <w:rFonts w:ascii="Times New Roman" w:eastAsia="Times New Roman" w:hAnsi="Times New Roman"/>
          <w:b/>
          <w:color w:val="000000"/>
        </w:rPr>
      </w:pPr>
    </w:p>
    <w:p w14:paraId="6416FD68" w14:textId="77777777" w:rsidR="00FC32C8" w:rsidRPr="0073145A" w:rsidRDefault="00FC32C8" w:rsidP="00F273E3">
      <w:pPr>
        <w:rPr>
          <w:rFonts w:ascii="Times New Roman" w:hAnsi="Times New Roman"/>
        </w:rPr>
      </w:pPr>
      <w:r w:rsidRPr="00246212">
        <w:rPr>
          <w:rFonts w:ascii="Times New Roman" w:hAnsi="Times New Roman"/>
        </w:rPr>
        <w:t xml:space="preserve">Follow-up of </w:t>
      </w:r>
      <w:r w:rsidR="0073145A">
        <w:rPr>
          <w:rFonts w:ascii="Times New Roman" w:hAnsi="Times New Roman"/>
        </w:rPr>
        <w:t>drug</w:t>
      </w:r>
      <w:r w:rsidRPr="00246212">
        <w:rPr>
          <w:rFonts w:ascii="Times New Roman" w:hAnsi="Times New Roman"/>
        </w:rPr>
        <w:t xml:space="preserve"> use is right censored when patients lost full </w:t>
      </w:r>
      <w:proofErr w:type="spellStart"/>
      <w:r w:rsidRPr="00246212">
        <w:rPr>
          <w:rFonts w:ascii="Times New Roman" w:hAnsi="Times New Roman"/>
        </w:rPr>
        <w:t>medical+pharmacy</w:t>
      </w:r>
      <w:proofErr w:type="spellEnd"/>
      <w:r w:rsidRPr="00246212">
        <w:rPr>
          <w:rFonts w:ascii="Times New Roman" w:hAnsi="Times New Roman"/>
        </w:rPr>
        <w:t xml:space="preserve"> benefits after 12 months of </w:t>
      </w:r>
      <w:r w:rsidR="0073145A">
        <w:rPr>
          <w:rFonts w:ascii="Times New Roman" w:hAnsi="Times New Roman"/>
        </w:rPr>
        <w:t>drug initiation</w:t>
      </w:r>
      <w:r w:rsidRPr="00246212">
        <w:rPr>
          <w:rFonts w:ascii="Times New Roman" w:hAnsi="Times New Roman"/>
        </w:rPr>
        <w:t>, at the time of death, or September</w:t>
      </w:r>
      <w:r w:rsidR="0073145A">
        <w:rPr>
          <w:rFonts w:ascii="Times New Roman" w:hAnsi="Times New Roman"/>
        </w:rPr>
        <w:t xml:space="preserve"> 2015, whichever occurs first. </w:t>
      </w:r>
    </w:p>
    <w:p w14:paraId="61045F10" w14:textId="77777777" w:rsidR="00DF3BEB" w:rsidRDefault="00DF3BEB" w:rsidP="00F273E3">
      <w:pPr>
        <w:rPr>
          <w:rFonts w:ascii="Times New Roman" w:eastAsia="Times New Roman" w:hAnsi="Times New Roman"/>
          <w:b/>
          <w:color w:val="000000"/>
        </w:rPr>
      </w:pPr>
    </w:p>
    <w:p w14:paraId="7FBFD24F" w14:textId="77777777" w:rsidR="00F273E3" w:rsidRPr="001C3D7A" w:rsidRDefault="00F273E3" w:rsidP="00F273E3">
      <w:pPr>
        <w:rPr>
          <w:rFonts w:ascii="Times New Roman" w:eastAsia="Times New Roman" w:hAnsi="Times New Roman"/>
          <w:b/>
        </w:rPr>
      </w:pPr>
      <w:r w:rsidRPr="00372C0A">
        <w:rPr>
          <w:rFonts w:ascii="Times New Roman" w:eastAsia="Times New Roman" w:hAnsi="Times New Roman"/>
          <w:b/>
          <w:color w:val="000000"/>
        </w:rPr>
        <w:t xml:space="preserve">Definition of </w:t>
      </w:r>
      <w:r>
        <w:rPr>
          <w:rFonts w:ascii="Times New Roman" w:eastAsia="Times New Roman" w:hAnsi="Times New Roman"/>
          <w:b/>
          <w:color w:val="000000"/>
        </w:rPr>
        <w:t>Outcomes</w:t>
      </w:r>
      <w:r w:rsidRPr="001C3D7A">
        <w:rPr>
          <w:rFonts w:ascii="Times New Roman" w:eastAsia="Times New Roman" w:hAnsi="Times New Roman"/>
          <w:b/>
          <w:color w:val="000000"/>
        </w:rPr>
        <w:t>:</w:t>
      </w:r>
    </w:p>
    <w:p w14:paraId="7CF4174F" w14:textId="77777777" w:rsidR="00F273E3" w:rsidRPr="001C3D7A" w:rsidRDefault="00F273E3" w:rsidP="00F273E3">
      <w:pPr>
        <w:rPr>
          <w:rFonts w:ascii="Times New Roman" w:eastAsia="Times New Roman" w:hAnsi="Times New Roman"/>
        </w:rPr>
      </w:pPr>
    </w:p>
    <w:p w14:paraId="3B2F2038" w14:textId="77777777" w:rsidR="00F273E3" w:rsidRDefault="00F273E3" w:rsidP="00F273E3">
      <w:pPr>
        <w:rPr>
          <w:rFonts w:ascii="Times New Roman" w:eastAsia="Times New Roman" w:hAnsi="Times New Roman"/>
          <w:color w:val="000000"/>
          <w:u w:val="single"/>
        </w:rPr>
      </w:pPr>
      <w:r>
        <w:rPr>
          <w:rFonts w:ascii="Times New Roman" w:eastAsia="Times New Roman" w:hAnsi="Times New Roman"/>
          <w:color w:val="000000"/>
          <w:u w:val="single"/>
        </w:rPr>
        <w:t>Primary non-adherence:</w:t>
      </w:r>
    </w:p>
    <w:p w14:paraId="19F3DB30" w14:textId="77777777" w:rsidR="00F273E3" w:rsidRDefault="00F273E3" w:rsidP="00F273E3">
      <w:pPr>
        <w:rPr>
          <w:rFonts w:ascii="Times New Roman" w:eastAsia="Times New Roman" w:hAnsi="Times New Roman"/>
          <w:color w:val="000000"/>
        </w:rPr>
      </w:pPr>
    </w:p>
    <w:p w14:paraId="19CC8251" w14:textId="4338D7C4" w:rsidR="00FF2911" w:rsidRDefault="00F84318" w:rsidP="00F273E3">
      <w:pPr>
        <w:rPr>
          <w:rFonts w:ascii="Times New Roman" w:eastAsia="Times New Roman" w:hAnsi="Times New Roman"/>
          <w:color w:val="000000"/>
        </w:rPr>
      </w:pPr>
      <w:r w:rsidRPr="00F84318">
        <w:rPr>
          <w:rFonts w:ascii="Times New Roman" w:eastAsia="Times New Roman" w:hAnsi="Times New Roman"/>
          <w:color w:val="000000"/>
        </w:rPr>
        <w:t>For MTX, an oral or SC prescription recorded in EHR and not filled within 60 days in pharmacy claims is defined as primary non-adherence. Such cases were identified by searching for the first MTX prescription in the EHR and then verifying filling in claims. We ignored HCPCS codes for MTX injections in-office since this would not reflect the critical element of patients filling the drug at the pharmacy.</w:t>
      </w:r>
    </w:p>
    <w:p w14:paraId="76BA5C95" w14:textId="77777777" w:rsidR="00F84318" w:rsidRDefault="00F84318" w:rsidP="00F273E3">
      <w:pPr>
        <w:rPr>
          <w:rFonts w:ascii="Times New Roman" w:eastAsia="Times New Roman" w:hAnsi="Times New Roman"/>
          <w:color w:val="000000"/>
        </w:rPr>
      </w:pPr>
    </w:p>
    <w:p w14:paraId="7989D00A" w14:textId="77777777" w:rsidR="00D509CD" w:rsidRDefault="00F273E3" w:rsidP="00F273E3">
      <w:pPr>
        <w:rPr>
          <w:rFonts w:ascii="Times New Roman" w:eastAsia="Times New Roman" w:hAnsi="Times New Roman"/>
          <w:color w:val="000000"/>
        </w:rPr>
      </w:pPr>
      <w:r>
        <w:rPr>
          <w:rFonts w:ascii="Times New Roman" w:eastAsia="Times New Roman" w:hAnsi="Times New Roman"/>
          <w:color w:val="000000"/>
        </w:rPr>
        <w:t xml:space="preserve">All biologics and </w:t>
      </w:r>
      <w:proofErr w:type="spellStart"/>
      <w:r>
        <w:rPr>
          <w:rFonts w:ascii="Times New Roman" w:eastAsia="Times New Roman" w:hAnsi="Times New Roman"/>
          <w:color w:val="000000"/>
        </w:rPr>
        <w:t>tofacitinib</w:t>
      </w:r>
      <w:proofErr w:type="spellEnd"/>
      <w:r>
        <w:rPr>
          <w:rFonts w:ascii="Times New Roman" w:eastAsia="Times New Roman" w:hAnsi="Times New Roman"/>
          <w:color w:val="000000"/>
        </w:rPr>
        <w:t xml:space="preserve"> were treated as one single “drug” </w:t>
      </w:r>
      <w:r w:rsidR="00B3739A">
        <w:rPr>
          <w:rFonts w:ascii="Times New Roman" w:eastAsia="Times New Roman" w:hAnsi="Times New Roman"/>
          <w:color w:val="000000"/>
        </w:rPr>
        <w:t>in this study</w:t>
      </w:r>
      <w:r>
        <w:rPr>
          <w:rFonts w:ascii="Times New Roman" w:eastAsia="Times New Roman" w:hAnsi="Times New Roman"/>
          <w:color w:val="000000"/>
        </w:rPr>
        <w:t xml:space="preserve">. </w:t>
      </w:r>
      <w:r w:rsidR="00B3739A">
        <w:rPr>
          <w:rFonts w:ascii="Times New Roman" w:eastAsia="Times New Roman" w:hAnsi="Times New Roman"/>
          <w:color w:val="000000"/>
        </w:rPr>
        <w:t>Primary non-adherence is defined as</w:t>
      </w:r>
      <w:r>
        <w:rPr>
          <w:rFonts w:ascii="Times New Roman" w:eastAsia="Times New Roman" w:hAnsi="Times New Roman"/>
          <w:color w:val="000000"/>
        </w:rPr>
        <w:t xml:space="preserve"> a biologic/</w:t>
      </w:r>
      <w:proofErr w:type="spellStart"/>
      <w:r>
        <w:rPr>
          <w:rFonts w:ascii="Times New Roman" w:eastAsia="Times New Roman" w:hAnsi="Times New Roman"/>
          <w:color w:val="000000"/>
        </w:rPr>
        <w:t>tofacitinib</w:t>
      </w:r>
      <w:proofErr w:type="spellEnd"/>
      <w:r>
        <w:rPr>
          <w:rFonts w:ascii="Times New Roman" w:eastAsia="Times New Roman" w:hAnsi="Times New Roman"/>
          <w:color w:val="000000"/>
        </w:rPr>
        <w:t xml:space="preserve"> prescription recorded in </w:t>
      </w:r>
      <w:r w:rsidR="00D509CD">
        <w:rPr>
          <w:rFonts w:ascii="Times New Roman" w:eastAsia="Times New Roman" w:hAnsi="Times New Roman"/>
          <w:color w:val="000000"/>
        </w:rPr>
        <w:t>HER that</w:t>
      </w:r>
      <w:r>
        <w:rPr>
          <w:rFonts w:ascii="Times New Roman" w:eastAsia="Times New Roman" w:hAnsi="Times New Roman"/>
          <w:color w:val="000000"/>
        </w:rPr>
        <w:t xml:space="preserve"> was not filled or administered ac</w:t>
      </w:r>
      <w:r w:rsidR="00B3739A">
        <w:rPr>
          <w:rFonts w:ascii="Times New Roman" w:eastAsia="Times New Roman" w:hAnsi="Times New Roman"/>
          <w:color w:val="000000"/>
        </w:rPr>
        <w:t>cording to claims within 9</w:t>
      </w:r>
      <w:r>
        <w:rPr>
          <w:rFonts w:ascii="Times New Roman" w:eastAsia="Times New Roman" w:hAnsi="Times New Roman"/>
          <w:color w:val="000000"/>
        </w:rPr>
        <w:t>0 days of prescription</w:t>
      </w:r>
      <w:r w:rsidR="00FF2911" w:rsidRPr="00FF2911">
        <w:rPr>
          <w:rFonts w:ascii="Times New Roman" w:eastAsia="Times New Roman" w:hAnsi="Times New Roman"/>
          <w:color w:val="000000"/>
        </w:rPr>
        <w:t xml:space="preserve"> </w:t>
      </w:r>
      <w:r w:rsidR="00FF2911">
        <w:rPr>
          <w:rFonts w:ascii="Times New Roman" w:eastAsia="Times New Roman" w:hAnsi="Times New Roman"/>
          <w:color w:val="000000"/>
        </w:rPr>
        <w:t xml:space="preserve">(more time is given as b/t may need more time to clear insurance hurdles and </w:t>
      </w:r>
      <w:r w:rsidR="00D509CD">
        <w:rPr>
          <w:rFonts w:ascii="Times New Roman" w:eastAsia="Times New Roman" w:hAnsi="Times New Roman"/>
          <w:color w:val="000000"/>
        </w:rPr>
        <w:t xml:space="preserve">obtain prior authorization, or </w:t>
      </w:r>
      <w:r w:rsidR="00FF2911">
        <w:rPr>
          <w:rFonts w:ascii="Times New Roman" w:eastAsia="Times New Roman" w:hAnsi="Times New Roman"/>
          <w:color w:val="000000"/>
        </w:rPr>
        <w:t>practical barriers such as travel arrangement for patients</w:t>
      </w:r>
      <w:r w:rsidR="00D509CD">
        <w:rPr>
          <w:rFonts w:ascii="Times New Roman" w:eastAsia="Times New Roman" w:hAnsi="Times New Roman"/>
          <w:color w:val="000000"/>
        </w:rPr>
        <w:t xml:space="preserve"> to return to start an infusion therapy</w:t>
      </w:r>
      <w:r w:rsidR="00FF2911">
        <w:rPr>
          <w:rFonts w:ascii="Times New Roman" w:eastAsia="Times New Roman" w:hAnsi="Times New Roman"/>
          <w:color w:val="000000"/>
        </w:rPr>
        <w:t>)</w:t>
      </w:r>
      <w:r>
        <w:rPr>
          <w:rFonts w:ascii="Times New Roman" w:eastAsia="Times New Roman" w:hAnsi="Times New Roman"/>
          <w:color w:val="000000"/>
        </w:rPr>
        <w:t xml:space="preserve">. </w:t>
      </w:r>
      <w:r w:rsidR="006C179D">
        <w:rPr>
          <w:rFonts w:ascii="Times New Roman" w:eastAsia="Times New Roman" w:hAnsi="Times New Roman"/>
          <w:color w:val="000000"/>
        </w:rPr>
        <w:t xml:space="preserve">Such cases </w:t>
      </w:r>
      <w:r w:rsidR="00D509CD">
        <w:rPr>
          <w:rFonts w:ascii="Times New Roman" w:eastAsia="Times New Roman" w:hAnsi="Times New Roman"/>
          <w:color w:val="000000"/>
        </w:rPr>
        <w:t>were</w:t>
      </w:r>
      <w:r w:rsidR="00B3739A">
        <w:rPr>
          <w:rFonts w:ascii="Times New Roman" w:eastAsia="Times New Roman" w:hAnsi="Times New Roman"/>
          <w:color w:val="000000"/>
        </w:rPr>
        <w:t xml:space="preserve"> identified by</w:t>
      </w:r>
      <w:r w:rsidR="006C179D">
        <w:rPr>
          <w:rFonts w:ascii="Times New Roman" w:eastAsia="Times New Roman" w:hAnsi="Times New Roman"/>
          <w:color w:val="000000"/>
        </w:rPr>
        <w:t xml:space="preserve"> search</w:t>
      </w:r>
      <w:r w:rsidR="00B3739A">
        <w:rPr>
          <w:rFonts w:ascii="Times New Roman" w:eastAsia="Times New Roman" w:hAnsi="Times New Roman"/>
          <w:color w:val="000000"/>
        </w:rPr>
        <w:t>ing</w:t>
      </w:r>
      <w:r w:rsidR="006C179D">
        <w:rPr>
          <w:rFonts w:ascii="Times New Roman" w:eastAsia="Times New Roman" w:hAnsi="Times New Roman"/>
          <w:color w:val="000000"/>
        </w:rPr>
        <w:t xml:space="preserve"> for the first </w:t>
      </w:r>
      <w:r w:rsidR="00E476DC">
        <w:rPr>
          <w:rFonts w:ascii="Times New Roman" w:eastAsia="Times New Roman" w:hAnsi="Times New Roman"/>
          <w:color w:val="000000"/>
        </w:rPr>
        <w:t>biologics/</w:t>
      </w:r>
      <w:proofErr w:type="spellStart"/>
      <w:r w:rsidR="00E476DC">
        <w:rPr>
          <w:rFonts w:ascii="Times New Roman" w:eastAsia="Times New Roman" w:hAnsi="Times New Roman"/>
          <w:color w:val="000000"/>
        </w:rPr>
        <w:t>tofacitinib</w:t>
      </w:r>
      <w:proofErr w:type="spellEnd"/>
      <w:r w:rsidR="006C179D">
        <w:rPr>
          <w:rFonts w:ascii="Times New Roman" w:eastAsia="Times New Roman" w:hAnsi="Times New Roman"/>
          <w:color w:val="000000"/>
        </w:rPr>
        <w:t xml:space="preserve"> pre</w:t>
      </w:r>
      <w:r w:rsidR="00B3739A">
        <w:rPr>
          <w:rFonts w:ascii="Times New Roman" w:eastAsia="Times New Roman" w:hAnsi="Times New Roman"/>
          <w:color w:val="000000"/>
        </w:rPr>
        <w:t xml:space="preserve">scription in </w:t>
      </w:r>
      <w:r w:rsidR="00D509CD">
        <w:rPr>
          <w:rFonts w:ascii="Times New Roman" w:eastAsia="Times New Roman" w:hAnsi="Times New Roman"/>
          <w:color w:val="000000"/>
        </w:rPr>
        <w:t xml:space="preserve">the </w:t>
      </w:r>
      <w:r w:rsidR="00B3739A">
        <w:rPr>
          <w:rFonts w:ascii="Times New Roman" w:eastAsia="Times New Roman" w:hAnsi="Times New Roman"/>
          <w:color w:val="000000"/>
        </w:rPr>
        <w:t>EHR and then verifying</w:t>
      </w:r>
      <w:r w:rsidR="006C179D">
        <w:rPr>
          <w:rFonts w:ascii="Times New Roman" w:eastAsia="Times New Roman" w:hAnsi="Times New Roman"/>
          <w:color w:val="000000"/>
        </w:rPr>
        <w:t xml:space="preserve"> filling</w:t>
      </w:r>
      <w:r w:rsidR="00E476DC">
        <w:rPr>
          <w:rFonts w:ascii="Times New Roman" w:eastAsia="Times New Roman" w:hAnsi="Times New Roman"/>
          <w:color w:val="000000"/>
        </w:rPr>
        <w:t xml:space="preserve"> and administration status</w:t>
      </w:r>
      <w:r w:rsidR="00B3739A">
        <w:rPr>
          <w:rFonts w:ascii="Times New Roman" w:eastAsia="Times New Roman" w:hAnsi="Times New Roman"/>
          <w:color w:val="000000"/>
        </w:rPr>
        <w:t xml:space="preserve"> in claims.</w:t>
      </w:r>
      <w:r w:rsidR="00D509CD">
        <w:rPr>
          <w:rFonts w:ascii="Times New Roman" w:eastAsia="Times New Roman" w:hAnsi="Times New Roman"/>
          <w:color w:val="000000"/>
        </w:rPr>
        <w:t xml:space="preserve"> This outcome clearly harnesses the power of the integrated EHR and claims data together but juxtaposing what the clinician prescribed (in the EHR data) and what the patient actually filled/received (in the claims data).</w:t>
      </w:r>
    </w:p>
    <w:p w14:paraId="70CA9090" w14:textId="77777777" w:rsidR="00D509CD" w:rsidRDefault="00D509CD" w:rsidP="00F273E3">
      <w:pPr>
        <w:rPr>
          <w:rFonts w:ascii="Times New Roman" w:eastAsia="Times New Roman" w:hAnsi="Times New Roman"/>
          <w:color w:val="000000"/>
        </w:rPr>
      </w:pPr>
    </w:p>
    <w:p w14:paraId="0056E4A9" w14:textId="36FF075F" w:rsidR="00F273E3" w:rsidRPr="00372C0A" w:rsidRDefault="00F273E3" w:rsidP="00F273E3">
      <w:pPr>
        <w:rPr>
          <w:rFonts w:ascii="Times New Roman" w:eastAsia="Times New Roman" w:hAnsi="Times New Roman"/>
          <w:color w:val="000000"/>
          <w:u w:val="single"/>
        </w:rPr>
      </w:pPr>
      <w:r>
        <w:rPr>
          <w:rFonts w:ascii="Times New Roman" w:eastAsia="Times New Roman" w:hAnsi="Times New Roman"/>
          <w:color w:val="000000"/>
          <w:u w:val="single"/>
        </w:rPr>
        <w:t>Persistence:</w:t>
      </w:r>
    </w:p>
    <w:p w14:paraId="7E23D0F8" w14:textId="77777777" w:rsidR="00D509CD" w:rsidRDefault="00F273E3" w:rsidP="00F273E3">
      <w:pPr>
        <w:rPr>
          <w:rFonts w:ascii="Times New Roman" w:eastAsia="Times New Roman" w:hAnsi="Times New Roman"/>
          <w:color w:val="000000"/>
        </w:rPr>
      </w:pPr>
      <w:r>
        <w:rPr>
          <w:rFonts w:ascii="Times New Roman" w:eastAsia="Times New Roman" w:hAnsi="Times New Roman"/>
          <w:color w:val="000000"/>
        </w:rPr>
        <w:t xml:space="preserve">Persistence </w:t>
      </w:r>
      <w:r w:rsidRPr="001C3D7A">
        <w:rPr>
          <w:rFonts w:ascii="Times New Roman" w:eastAsia="Times New Roman" w:hAnsi="Times New Roman"/>
          <w:color w:val="000000"/>
        </w:rPr>
        <w:t xml:space="preserve">with </w:t>
      </w:r>
      <w:r w:rsidR="00B3739A">
        <w:rPr>
          <w:rFonts w:ascii="Times New Roman" w:eastAsia="Times New Roman" w:hAnsi="Times New Roman"/>
          <w:color w:val="000000"/>
        </w:rPr>
        <w:t xml:space="preserve">a </w:t>
      </w:r>
      <w:r w:rsidRPr="001C3D7A">
        <w:rPr>
          <w:rFonts w:ascii="Times New Roman" w:eastAsia="Times New Roman" w:hAnsi="Times New Roman"/>
          <w:color w:val="000000"/>
        </w:rPr>
        <w:t>medication</w:t>
      </w:r>
      <w:r>
        <w:rPr>
          <w:rFonts w:ascii="Times New Roman" w:eastAsia="Times New Roman" w:hAnsi="Times New Roman"/>
          <w:color w:val="000000"/>
        </w:rPr>
        <w:t xml:space="preserve"> was quantified</w:t>
      </w:r>
      <w:r w:rsidRPr="001C3D7A">
        <w:rPr>
          <w:rFonts w:ascii="Times New Roman" w:eastAsia="Times New Roman" w:hAnsi="Times New Roman"/>
          <w:color w:val="000000"/>
        </w:rPr>
        <w:t xml:space="preserve"> by the number of days from </w:t>
      </w:r>
      <w:r w:rsidR="0023532A">
        <w:rPr>
          <w:rFonts w:ascii="Times New Roman" w:eastAsia="Times New Roman" w:hAnsi="Times New Roman"/>
          <w:color w:val="000000"/>
        </w:rPr>
        <w:t>initiatio</w:t>
      </w:r>
      <w:r>
        <w:rPr>
          <w:rFonts w:ascii="Times New Roman" w:eastAsia="Times New Roman" w:hAnsi="Times New Roman"/>
          <w:color w:val="000000"/>
        </w:rPr>
        <w:t>n to discontinuation</w:t>
      </w:r>
      <w:r w:rsidR="00D509CD">
        <w:rPr>
          <w:rFonts w:ascii="Times New Roman" w:eastAsia="Times New Roman" w:hAnsi="Times New Roman"/>
          <w:color w:val="000000"/>
        </w:rPr>
        <w:t>, as identified in pharmacy data</w:t>
      </w:r>
      <w:r w:rsidRPr="001C3D7A">
        <w:rPr>
          <w:rFonts w:ascii="Times New Roman" w:eastAsia="Times New Roman" w:hAnsi="Times New Roman"/>
          <w:color w:val="000000"/>
        </w:rPr>
        <w:t xml:space="preserve">. </w:t>
      </w:r>
      <w:r>
        <w:rPr>
          <w:rFonts w:ascii="Times New Roman" w:eastAsia="Times New Roman" w:hAnsi="Times New Roman"/>
          <w:color w:val="000000"/>
        </w:rPr>
        <w:t xml:space="preserve">For MTX, a gap of </w:t>
      </w:r>
      <w:r w:rsidR="00B3739A">
        <w:rPr>
          <w:rFonts w:ascii="Times New Roman" w:eastAsia="Times New Roman" w:hAnsi="Times New Roman"/>
          <w:color w:val="000000"/>
        </w:rPr>
        <w:t>90 days</w:t>
      </w:r>
      <w:r>
        <w:rPr>
          <w:rFonts w:ascii="Times New Roman" w:eastAsia="Times New Roman" w:hAnsi="Times New Roman"/>
          <w:color w:val="000000"/>
        </w:rPr>
        <w:t xml:space="preserve"> in pharmacy claims data indicates discontinuation. </w:t>
      </w:r>
    </w:p>
    <w:p w14:paraId="16140BC6" w14:textId="77777777" w:rsidR="00D509CD" w:rsidRDefault="00D509CD" w:rsidP="00F273E3">
      <w:pPr>
        <w:rPr>
          <w:rFonts w:ascii="Times New Roman" w:eastAsia="Times New Roman" w:hAnsi="Times New Roman"/>
          <w:color w:val="000000"/>
        </w:rPr>
      </w:pPr>
    </w:p>
    <w:p w14:paraId="24B44013" w14:textId="372BCE99" w:rsidR="001F453C" w:rsidRDefault="00D509CD" w:rsidP="00F273E3">
      <w:pPr>
        <w:rPr>
          <w:rFonts w:ascii="Times New Roman" w:eastAsia="Times New Roman" w:hAnsi="Times New Roman"/>
          <w:color w:val="000000"/>
        </w:rPr>
      </w:pPr>
      <w:r w:rsidRPr="00D509CD">
        <w:rPr>
          <w:rFonts w:ascii="Times New Roman" w:eastAsia="Times New Roman" w:hAnsi="Times New Roman"/>
          <w:color w:val="000000"/>
        </w:rPr>
        <w:t xml:space="preserve">A gap of 90 days in pharmacy claims (for </w:t>
      </w:r>
      <w:proofErr w:type="spellStart"/>
      <w:r w:rsidRPr="00D509CD">
        <w:rPr>
          <w:rFonts w:ascii="Times New Roman" w:eastAsia="Times New Roman" w:hAnsi="Times New Roman"/>
          <w:color w:val="000000"/>
        </w:rPr>
        <w:t>tofacitinib</w:t>
      </w:r>
      <w:proofErr w:type="spellEnd"/>
      <w:r w:rsidRPr="00D509CD">
        <w:rPr>
          <w:rFonts w:ascii="Times New Roman" w:eastAsia="Times New Roman" w:hAnsi="Times New Roman"/>
          <w:color w:val="000000"/>
        </w:rPr>
        <w:t xml:space="preserve"> and self-injected biologics) and in combined pharmacy and medical claims (based on procedure codes for infused and self-injected drugs administered in the clinical setting) defined discontinuation, consistent with multiple prior studies</w:t>
      </w:r>
      <w:r>
        <w:rPr>
          <w:rStyle w:val="FootnoteReference"/>
          <w:rFonts w:ascii="Times New Roman" w:eastAsia="Times New Roman" w:hAnsi="Times New Roman"/>
          <w:color w:val="000000"/>
        </w:rPr>
        <w:footnoteReference w:id="4"/>
      </w:r>
      <w:r w:rsidRPr="00D509CD">
        <w:rPr>
          <w:rFonts w:ascii="Times New Roman" w:eastAsia="Times New Roman" w:hAnsi="Times New Roman"/>
          <w:color w:val="000000"/>
        </w:rPr>
        <w:t xml:space="preserve">. The following tables showed how we calculated “days of supply” for IV and SC biologics and </w:t>
      </w:r>
      <w:proofErr w:type="spellStart"/>
      <w:r w:rsidRPr="00D509CD">
        <w:rPr>
          <w:rFonts w:ascii="Times New Roman" w:eastAsia="Times New Roman" w:hAnsi="Times New Roman"/>
          <w:color w:val="000000"/>
        </w:rPr>
        <w:t>tofacitinib</w:t>
      </w:r>
      <w:proofErr w:type="spellEnd"/>
      <w:r w:rsidRPr="00D509CD">
        <w:rPr>
          <w:rFonts w:ascii="Times New Roman" w:eastAsia="Times New Roman" w:hAnsi="Times New Roman"/>
          <w:color w:val="000000"/>
        </w:rPr>
        <w:t>.</w:t>
      </w:r>
    </w:p>
    <w:p w14:paraId="4214B4F8" w14:textId="77777777" w:rsidR="00D509CD" w:rsidRDefault="00D509CD" w:rsidP="00F273E3">
      <w:pPr>
        <w:rPr>
          <w:rFonts w:ascii="Times New Roman" w:eastAsia="Times New Roman" w:hAnsi="Times New Roman"/>
          <w:color w:val="000000"/>
        </w:rPr>
      </w:pPr>
    </w:p>
    <w:p w14:paraId="320AD4FF" w14:textId="77777777" w:rsidR="00B3739A" w:rsidRPr="00AE4E04" w:rsidRDefault="00B3739A" w:rsidP="00F273E3">
      <w:pPr>
        <w:rPr>
          <w:rFonts w:ascii="Times New Roman" w:eastAsia="Times New Roman" w:hAnsi="Times New Roman"/>
          <w:color w:val="000000" w:themeColor="text1"/>
        </w:rPr>
      </w:pPr>
      <w:r>
        <w:rPr>
          <w:rFonts w:ascii="Times New Roman" w:eastAsia="Times New Roman" w:hAnsi="Times New Roman"/>
          <w:color w:val="000000" w:themeColor="text1"/>
        </w:rPr>
        <w:t xml:space="preserve">Table 1: Days of Supply </w:t>
      </w:r>
      <w:r>
        <w:rPr>
          <w:rFonts w:ascii="Times New Roman" w:eastAsia="Times New Roman" w:hAnsi="Times New Roman"/>
          <w:color w:val="000000"/>
        </w:rPr>
        <w:t xml:space="preserve">for IV and SC biologics and </w:t>
      </w:r>
      <w:proofErr w:type="spellStart"/>
      <w:r>
        <w:rPr>
          <w:rFonts w:ascii="Times New Roman" w:eastAsia="Times New Roman" w:hAnsi="Times New Roman"/>
          <w:color w:val="000000"/>
        </w:rPr>
        <w:t>tofacitinib</w:t>
      </w:r>
      <w:proofErr w:type="spellEnd"/>
    </w:p>
    <w:tbl>
      <w:tblPr>
        <w:tblStyle w:val="TableGrid"/>
        <w:tblW w:w="10395" w:type="dxa"/>
        <w:tblLayout w:type="fixed"/>
        <w:tblLook w:val="04A0" w:firstRow="1" w:lastRow="0" w:firstColumn="1" w:lastColumn="0" w:noHBand="0" w:noVBand="1"/>
      </w:tblPr>
      <w:tblGrid>
        <w:gridCol w:w="1039"/>
        <w:gridCol w:w="1039"/>
        <w:gridCol w:w="1040"/>
        <w:gridCol w:w="1039"/>
        <w:gridCol w:w="1040"/>
        <w:gridCol w:w="1039"/>
        <w:gridCol w:w="1040"/>
        <w:gridCol w:w="1039"/>
        <w:gridCol w:w="1040"/>
        <w:gridCol w:w="1040"/>
      </w:tblGrid>
      <w:tr w:rsidR="005D1D3D" w:rsidRPr="00AE4E04" w14:paraId="5469C7DB" w14:textId="77777777" w:rsidTr="00D509CD">
        <w:tc>
          <w:tcPr>
            <w:tcW w:w="1039" w:type="dxa"/>
          </w:tcPr>
          <w:p w14:paraId="649A0809" w14:textId="77777777" w:rsidR="005D1D3D" w:rsidRPr="00AE4E04" w:rsidRDefault="005D1D3D" w:rsidP="00F273E3">
            <w:pPr>
              <w:rPr>
                <w:rFonts w:ascii="Times New Roman" w:eastAsia="Times New Roman" w:hAnsi="Times New Roman"/>
                <w:color w:val="000000" w:themeColor="text1"/>
                <w:sz w:val="16"/>
                <w:szCs w:val="16"/>
              </w:rPr>
            </w:pPr>
          </w:p>
        </w:tc>
        <w:tc>
          <w:tcPr>
            <w:tcW w:w="1039" w:type="dxa"/>
          </w:tcPr>
          <w:p w14:paraId="04333377"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adalimumab</w:t>
            </w:r>
          </w:p>
        </w:tc>
        <w:tc>
          <w:tcPr>
            <w:tcW w:w="1040" w:type="dxa"/>
          </w:tcPr>
          <w:p w14:paraId="3B4A08D0"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etanercept</w:t>
            </w:r>
            <w:proofErr w:type="spellEnd"/>
          </w:p>
        </w:tc>
        <w:tc>
          <w:tcPr>
            <w:tcW w:w="1039" w:type="dxa"/>
          </w:tcPr>
          <w:p w14:paraId="2240F053" w14:textId="3E76DD99" w:rsidR="005D1D3D" w:rsidRPr="00AE4E04" w:rsidRDefault="00B3739A"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I</w:t>
            </w:r>
            <w:r w:rsidR="005D1D3D" w:rsidRPr="00AE4E04">
              <w:rPr>
                <w:rFonts w:ascii="Times New Roman" w:eastAsia="Times New Roman" w:hAnsi="Times New Roman"/>
                <w:color w:val="000000" w:themeColor="text1"/>
                <w:sz w:val="16"/>
                <w:szCs w:val="16"/>
              </w:rPr>
              <w:t>nfliximab</w:t>
            </w:r>
            <w:r w:rsidR="0020567A">
              <w:rPr>
                <w:rFonts w:ascii="Times New Roman" w:eastAsia="Times New Roman" w:hAnsi="Times New Roman"/>
                <w:color w:val="000000" w:themeColor="text1"/>
                <w:sz w:val="16"/>
                <w:szCs w:val="16"/>
              </w:rPr>
              <w:t>*</w:t>
            </w:r>
          </w:p>
        </w:tc>
        <w:tc>
          <w:tcPr>
            <w:tcW w:w="1040" w:type="dxa"/>
          </w:tcPr>
          <w:p w14:paraId="3050750C"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certolizumab</w:t>
            </w:r>
            <w:proofErr w:type="spellEnd"/>
          </w:p>
        </w:tc>
        <w:tc>
          <w:tcPr>
            <w:tcW w:w="1039" w:type="dxa"/>
          </w:tcPr>
          <w:p w14:paraId="19A71F7C"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golimumab</w:t>
            </w:r>
            <w:proofErr w:type="spellEnd"/>
          </w:p>
        </w:tc>
        <w:tc>
          <w:tcPr>
            <w:tcW w:w="1040" w:type="dxa"/>
          </w:tcPr>
          <w:p w14:paraId="3B6F8E85" w14:textId="2843FE7B" w:rsidR="005D1D3D" w:rsidRPr="00AE4E04" w:rsidRDefault="0020567A" w:rsidP="00F273E3">
            <w:pPr>
              <w:rPr>
                <w:rFonts w:ascii="Times New Roman" w:eastAsia="Times New Roman" w:hAnsi="Times New Roman"/>
                <w:color w:val="000000" w:themeColor="text1"/>
                <w:sz w:val="16"/>
                <w:szCs w:val="16"/>
              </w:rPr>
            </w:pPr>
            <w:proofErr w:type="spellStart"/>
            <w:r>
              <w:rPr>
                <w:rFonts w:ascii="Times New Roman" w:eastAsia="Times New Roman" w:hAnsi="Times New Roman"/>
                <w:color w:val="000000" w:themeColor="text1"/>
                <w:sz w:val="16"/>
                <w:szCs w:val="16"/>
              </w:rPr>
              <w:t>a</w:t>
            </w:r>
            <w:r w:rsidR="005D1D3D" w:rsidRPr="00AE4E04">
              <w:rPr>
                <w:rFonts w:ascii="Times New Roman" w:eastAsia="Times New Roman" w:hAnsi="Times New Roman"/>
                <w:color w:val="000000" w:themeColor="text1"/>
                <w:sz w:val="16"/>
                <w:szCs w:val="16"/>
              </w:rPr>
              <w:t>batacept</w:t>
            </w:r>
            <w:proofErr w:type="spellEnd"/>
            <w:r>
              <w:rPr>
                <w:rFonts w:ascii="Times New Roman" w:eastAsia="Times New Roman" w:hAnsi="Times New Roman"/>
                <w:color w:val="000000" w:themeColor="text1"/>
                <w:sz w:val="16"/>
                <w:szCs w:val="16"/>
              </w:rPr>
              <w:t>*</w:t>
            </w:r>
          </w:p>
        </w:tc>
        <w:tc>
          <w:tcPr>
            <w:tcW w:w="1039" w:type="dxa"/>
          </w:tcPr>
          <w:p w14:paraId="41BB602E"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rituximab</w:t>
            </w:r>
          </w:p>
        </w:tc>
        <w:tc>
          <w:tcPr>
            <w:tcW w:w="1040" w:type="dxa"/>
          </w:tcPr>
          <w:p w14:paraId="4C6592B6"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tocilizumab</w:t>
            </w:r>
          </w:p>
        </w:tc>
        <w:tc>
          <w:tcPr>
            <w:tcW w:w="1040" w:type="dxa"/>
          </w:tcPr>
          <w:p w14:paraId="6FBA2D53" w14:textId="77777777" w:rsidR="005D1D3D" w:rsidRPr="00AE4E04" w:rsidRDefault="005D1D3D" w:rsidP="00F273E3">
            <w:pPr>
              <w:rPr>
                <w:rFonts w:ascii="Times New Roman" w:eastAsia="Times New Roman" w:hAnsi="Times New Roman"/>
                <w:color w:val="000000" w:themeColor="text1"/>
                <w:sz w:val="16"/>
                <w:szCs w:val="16"/>
              </w:rPr>
            </w:pPr>
            <w:proofErr w:type="spellStart"/>
            <w:r w:rsidRPr="00AE4E04">
              <w:rPr>
                <w:rFonts w:ascii="Times New Roman" w:eastAsia="Times New Roman" w:hAnsi="Times New Roman"/>
                <w:color w:val="000000" w:themeColor="text1"/>
                <w:sz w:val="16"/>
                <w:szCs w:val="16"/>
              </w:rPr>
              <w:t>tofacitinib</w:t>
            </w:r>
            <w:proofErr w:type="spellEnd"/>
          </w:p>
        </w:tc>
      </w:tr>
      <w:tr w:rsidR="00D509CD" w:rsidRPr="00AE4E04" w14:paraId="126B0BAB" w14:textId="77777777" w:rsidTr="00D509CD">
        <w:tc>
          <w:tcPr>
            <w:tcW w:w="1039" w:type="dxa"/>
          </w:tcPr>
          <w:p w14:paraId="7924FC64"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IV</w:t>
            </w:r>
          </w:p>
        </w:tc>
        <w:tc>
          <w:tcPr>
            <w:tcW w:w="1039" w:type="dxa"/>
          </w:tcPr>
          <w:p w14:paraId="1AF36E62"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07DE685E"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39" w:type="dxa"/>
          </w:tcPr>
          <w:p w14:paraId="7A568B8D" w14:textId="3C204EAC" w:rsidR="00D509CD" w:rsidRPr="00AE4E04" w:rsidRDefault="00D509CD" w:rsidP="0020567A">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56</w:t>
            </w:r>
            <w:r>
              <w:rPr>
                <w:rFonts w:ascii="Times New Roman" w:eastAsia="Times New Roman" w:hAnsi="Times New Roman"/>
                <w:color w:val="000000" w:themeColor="text1"/>
                <w:sz w:val="16"/>
                <w:szCs w:val="16"/>
              </w:rPr>
              <w:t xml:space="preserve"> (usual dosing interval)</w:t>
            </w:r>
          </w:p>
        </w:tc>
        <w:tc>
          <w:tcPr>
            <w:tcW w:w="1040" w:type="dxa"/>
          </w:tcPr>
          <w:p w14:paraId="6534A345" w14:textId="6D3C934D"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39" w:type="dxa"/>
          </w:tcPr>
          <w:p w14:paraId="2F68826E" w14:textId="3F5416C1"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56</w:t>
            </w:r>
            <w:r>
              <w:rPr>
                <w:rFonts w:ascii="Times New Roman" w:eastAsia="Times New Roman" w:hAnsi="Times New Roman"/>
                <w:color w:val="000000" w:themeColor="text1"/>
                <w:sz w:val="16"/>
                <w:szCs w:val="16"/>
              </w:rPr>
              <w:t xml:space="preserve"> (usual dosing interval)</w:t>
            </w:r>
          </w:p>
        </w:tc>
        <w:tc>
          <w:tcPr>
            <w:tcW w:w="1040" w:type="dxa"/>
          </w:tcPr>
          <w:p w14:paraId="5760932C" w14:textId="65F8C120"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28</w:t>
            </w:r>
            <w:r>
              <w:rPr>
                <w:rFonts w:ascii="Times New Roman" w:eastAsia="Times New Roman" w:hAnsi="Times New Roman"/>
                <w:color w:val="000000" w:themeColor="text1"/>
                <w:sz w:val="16"/>
                <w:szCs w:val="16"/>
              </w:rPr>
              <w:t xml:space="preserve"> (usual dosing interval)</w:t>
            </w:r>
          </w:p>
        </w:tc>
        <w:tc>
          <w:tcPr>
            <w:tcW w:w="1039" w:type="dxa"/>
          </w:tcPr>
          <w:p w14:paraId="2EFAD754" w14:textId="49FF4548"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183</w:t>
            </w:r>
            <w:r>
              <w:rPr>
                <w:rFonts w:ascii="Times New Roman" w:eastAsia="Times New Roman" w:hAnsi="Times New Roman"/>
                <w:color w:val="000000" w:themeColor="text1"/>
                <w:sz w:val="16"/>
                <w:szCs w:val="16"/>
              </w:rPr>
              <w:t xml:space="preserve"> (most typical interval between cycles)</w:t>
            </w:r>
          </w:p>
        </w:tc>
        <w:tc>
          <w:tcPr>
            <w:tcW w:w="1040" w:type="dxa"/>
          </w:tcPr>
          <w:p w14:paraId="68236AE9" w14:textId="02086D6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28</w:t>
            </w:r>
            <w:r>
              <w:rPr>
                <w:rFonts w:ascii="Times New Roman" w:eastAsia="Times New Roman" w:hAnsi="Times New Roman"/>
                <w:color w:val="000000" w:themeColor="text1"/>
                <w:sz w:val="16"/>
                <w:szCs w:val="16"/>
              </w:rPr>
              <w:t xml:space="preserve"> (usual dosing interval)</w:t>
            </w:r>
          </w:p>
        </w:tc>
        <w:tc>
          <w:tcPr>
            <w:tcW w:w="1040" w:type="dxa"/>
          </w:tcPr>
          <w:p w14:paraId="31C94BBB" w14:textId="77777777" w:rsidR="00D509CD" w:rsidRPr="00AE4E04" w:rsidRDefault="00D509C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r>
      <w:tr w:rsidR="005D1D3D" w:rsidRPr="00AE4E04" w14:paraId="7BB11AF8" w14:textId="77777777" w:rsidTr="00D509CD">
        <w:tc>
          <w:tcPr>
            <w:tcW w:w="1039" w:type="dxa"/>
          </w:tcPr>
          <w:p w14:paraId="2FAB649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SC</w:t>
            </w:r>
          </w:p>
        </w:tc>
        <w:tc>
          <w:tcPr>
            <w:tcW w:w="1039" w:type="dxa"/>
          </w:tcPr>
          <w:p w14:paraId="5D3E6A37" w14:textId="4758DD0B"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w:t>
            </w:r>
            <w:r w:rsidR="00AE4E04" w:rsidRPr="00AE4E04">
              <w:rPr>
                <w:rFonts w:ascii="Times New Roman" w:eastAsia="Times New Roman" w:hAnsi="Times New Roman"/>
                <w:color w:val="000000" w:themeColor="text1"/>
                <w:sz w:val="16"/>
                <w:szCs w:val="16"/>
              </w:rPr>
              <w:t>very 2 weeks</w:t>
            </w:r>
            <w:r w:rsidR="00D509CD">
              <w:rPr>
                <w:rFonts w:ascii="Times New Roman" w:eastAsia="Times New Roman" w:hAnsi="Times New Roman"/>
                <w:color w:val="000000" w:themeColor="text1"/>
                <w:sz w:val="16"/>
                <w:szCs w:val="16"/>
              </w:rPr>
              <w:t>, or once weekly if dose escalated</w:t>
            </w:r>
            <w:r w:rsidR="00AE4E04" w:rsidRPr="00AE4E04">
              <w:rPr>
                <w:rFonts w:ascii="Times New Roman" w:eastAsia="Times New Roman" w:hAnsi="Times New Roman"/>
                <w:color w:val="000000" w:themeColor="text1"/>
                <w:sz w:val="16"/>
                <w:szCs w:val="16"/>
              </w:rPr>
              <w:t>)</w:t>
            </w:r>
          </w:p>
        </w:tc>
        <w:tc>
          <w:tcPr>
            <w:tcW w:w="1040" w:type="dxa"/>
          </w:tcPr>
          <w:p w14:paraId="3E7DA1C3" w14:textId="25E55632" w:rsidR="005D1D3D" w:rsidRPr="00AE4E04" w:rsidRDefault="005D1D3D" w:rsidP="00D509CD">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every 1 week</w:t>
            </w:r>
            <w:r w:rsidR="00AE4E04" w:rsidRPr="00AE4E04">
              <w:rPr>
                <w:rFonts w:ascii="Times New Roman" w:eastAsia="Times New Roman" w:hAnsi="Times New Roman"/>
                <w:color w:val="000000" w:themeColor="text1"/>
                <w:sz w:val="16"/>
                <w:szCs w:val="16"/>
              </w:rPr>
              <w:t>)</w:t>
            </w:r>
          </w:p>
        </w:tc>
        <w:tc>
          <w:tcPr>
            <w:tcW w:w="1039" w:type="dxa"/>
          </w:tcPr>
          <w:p w14:paraId="74B39140"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27D8352B" w14:textId="6A2890E8"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r w:rsidR="00AE4E04" w:rsidRPr="00AE4E04">
              <w:rPr>
                <w:rFonts w:ascii="Times New Roman" w:eastAsia="Times New Roman" w:hAnsi="Times New Roman"/>
                <w:color w:val="000000" w:themeColor="text1"/>
                <w:sz w:val="16"/>
                <w:szCs w:val="16"/>
              </w:rPr>
              <w:t xml:space="preserve"> (indication: </w:t>
            </w:r>
            <w:r w:rsidR="00D509CD">
              <w:rPr>
                <w:rFonts w:ascii="Times New Roman" w:eastAsia="Times New Roman" w:hAnsi="Times New Roman"/>
                <w:color w:val="000000" w:themeColor="text1"/>
                <w:sz w:val="16"/>
                <w:szCs w:val="16"/>
              </w:rPr>
              <w:t>e</w:t>
            </w:r>
            <w:r w:rsidR="00AE4E04" w:rsidRPr="00AE4E04">
              <w:rPr>
                <w:rFonts w:ascii="Times New Roman" w:eastAsia="Times New Roman" w:hAnsi="Times New Roman"/>
                <w:color w:val="000000" w:themeColor="text1"/>
                <w:sz w:val="16"/>
                <w:szCs w:val="16"/>
              </w:rPr>
              <w:t>very 2 or 4 weeks)</w:t>
            </w:r>
          </w:p>
        </w:tc>
        <w:tc>
          <w:tcPr>
            <w:tcW w:w="1039" w:type="dxa"/>
          </w:tcPr>
          <w:p w14:paraId="2C7C8245"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c>
          <w:tcPr>
            <w:tcW w:w="1040" w:type="dxa"/>
          </w:tcPr>
          <w:p w14:paraId="3F9E6E21" w14:textId="77777777" w:rsidR="005D1D3D" w:rsidRPr="00AE4E04" w:rsidRDefault="005D1D3D" w:rsidP="002634AF">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c>
          <w:tcPr>
            <w:tcW w:w="1039" w:type="dxa"/>
          </w:tcPr>
          <w:p w14:paraId="3BF3B26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0F0F8E55"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w:t>
            </w:r>
          </w:p>
        </w:tc>
        <w:tc>
          <w:tcPr>
            <w:tcW w:w="1040" w:type="dxa"/>
          </w:tcPr>
          <w:p w14:paraId="62D40AD9" w14:textId="77777777" w:rsidR="005D1D3D" w:rsidRPr="00AE4E04" w:rsidRDefault="005D1D3D" w:rsidP="00F273E3">
            <w:pPr>
              <w:rPr>
                <w:rFonts w:ascii="Times New Roman" w:eastAsia="Times New Roman" w:hAnsi="Times New Roman"/>
                <w:color w:val="000000" w:themeColor="text1"/>
                <w:sz w:val="16"/>
                <w:szCs w:val="16"/>
              </w:rPr>
            </w:pPr>
            <w:r w:rsidRPr="00AE4E04">
              <w:rPr>
                <w:rFonts w:ascii="Times New Roman" w:eastAsia="Times New Roman" w:hAnsi="Times New Roman"/>
                <w:color w:val="000000" w:themeColor="text1"/>
                <w:sz w:val="16"/>
                <w:szCs w:val="16"/>
              </w:rPr>
              <w:t>Actual days of supply</w:t>
            </w:r>
          </w:p>
        </w:tc>
      </w:tr>
    </w:tbl>
    <w:p w14:paraId="54648AC3" w14:textId="4A49BFA5" w:rsidR="00BC2422" w:rsidRDefault="0020567A" w:rsidP="0020567A">
      <w:pPr>
        <w:rPr>
          <w:rFonts w:ascii="Times New Roman" w:eastAsia="Times New Roman" w:hAnsi="Times New Roman"/>
          <w:color w:val="000000"/>
        </w:rPr>
      </w:pPr>
      <w:r>
        <w:rPr>
          <w:rFonts w:ascii="Times New Roman" w:eastAsia="Times New Roman" w:hAnsi="Times New Roman"/>
          <w:color w:val="000000"/>
        </w:rPr>
        <w:t>*we didn’t consider induction dosing. This is conservative in that the actual gap</w:t>
      </w:r>
      <w:r w:rsidR="00CB02E7">
        <w:rPr>
          <w:rFonts w:ascii="Times New Roman" w:eastAsia="Times New Roman" w:hAnsi="Times New Roman"/>
          <w:color w:val="000000"/>
        </w:rPr>
        <w:t xml:space="preserve"> applied </w:t>
      </w:r>
      <w:r w:rsidR="00D73353">
        <w:rPr>
          <w:rFonts w:ascii="Times New Roman" w:eastAsia="Times New Roman" w:hAnsi="Times New Roman"/>
          <w:color w:val="000000"/>
        </w:rPr>
        <w:t>can be</w:t>
      </w:r>
      <w:r w:rsidR="00CB02E7">
        <w:rPr>
          <w:rFonts w:ascii="Times New Roman" w:eastAsia="Times New Roman" w:hAnsi="Times New Roman"/>
          <w:color w:val="000000"/>
        </w:rPr>
        <w:t xml:space="preserve"> much</w:t>
      </w:r>
      <w:r>
        <w:rPr>
          <w:rFonts w:ascii="Times New Roman" w:eastAsia="Times New Roman" w:hAnsi="Times New Roman"/>
          <w:color w:val="000000"/>
        </w:rPr>
        <w:t xml:space="preserve"> larger than the 90-gap requi</w:t>
      </w:r>
      <w:r w:rsidR="00CB02E7">
        <w:rPr>
          <w:rFonts w:ascii="Times New Roman" w:eastAsia="Times New Roman" w:hAnsi="Times New Roman"/>
          <w:color w:val="000000"/>
        </w:rPr>
        <w:t xml:space="preserve">red during the induction phase and the discontinuation is thus more </w:t>
      </w:r>
      <w:r w:rsidR="00D73353">
        <w:rPr>
          <w:rFonts w:ascii="Times New Roman" w:eastAsia="Times New Roman" w:hAnsi="Times New Roman"/>
          <w:color w:val="000000"/>
        </w:rPr>
        <w:t>valid</w:t>
      </w:r>
      <w:r w:rsidR="00CB02E7">
        <w:rPr>
          <w:rFonts w:ascii="Times New Roman" w:eastAsia="Times New Roman" w:hAnsi="Times New Roman"/>
          <w:color w:val="000000"/>
        </w:rPr>
        <w:t xml:space="preserve">. </w:t>
      </w:r>
    </w:p>
    <w:p w14:paraId="0225FFBC" w14:textId="77777777" w:rsidR="0020567A" w:rsidRPr="0020567A" w:rsidRDefault="0020567A" w:rsidP="0020567A">
      <w:pPr>
        <w:rPr>
          <w:rFonts w:ascii="Times New Roman" w:eastAsia="Times New Roman" w:hAnsi="Times New Roman"/>
          <w:color w:val="000000"/>
        </w:rPr>
      </w:pPr>
    </w:p>
    <w:p w14:paraId="302C3F9F" w14:textId="36CB7A9E" w:rsidR="00BC2422" w:rsidRDefault="00BC2422" w:rsidP="00BC2422">
      <w:pPr>
        <w:rPr>
          <w:rFonts w:ascii="Times New Roman" w:eastAsia="Times New Roman" w:hAnsi="Times New Roman"/>
          <w:color w:val="000000"/>
        </w:rPr>
      </w:pPr>
      <w:r>
        <w:rPr>
          <w:rFonts w:ascii="Times New Roman" w:eastAsia="Times New Roman" w:hAnsi="Times New Roman"/>
          <w:color w:val="000000"/>
        </w:rPr>
        <w:t xml:space="preserve">A binary indicator for persistence at 6 is created, which is the main outcome for persistence. </w:t>
      </w:r>
    </w:p>
    <w:p w14:paraId="2C917601" w14:textId="77777777" w:rsidR="008A3820" w:rsidRDefault="008A3820" w:rsidP="00F273E3">
      <w:pPr>
        <w:rPr>
          <w:rFonts w:ascii="Times New Roman" w:eastAsia="Times New Roman" w:hAnsi="Times New Roman"/>
          <w:color w:val="000000"/>
        </w:rPr>
      </w:pPr>
    </w:p>
    <w:p w14:paraId="6368C387" w14:textId="77777777" w:rsidR="00F273E3" w:rsidRDefault="00F273E3" w:rsidP="00F273E3">
      <w:pPr>
        <w:rPr>
          <w:rFonts w:ascii="Times New Roman" w:eastAsia="Times New Roman" w:hAnsi="Times New Roman"/>
          <w:color w:val="000000"/>
        </w:rPr>
      </w:pPr>
    </w:p>
    <w:p w14:paraId="4521F09A" w14:textId="77777777" w:rsidR="00A35BD7" w:rsidRDefault="00F273E3" w:rsidP="0097648B">
      <w:pPr>
        <w:rPr>
          <w:rFonts w:ascii="Times New Roman" w:eastAsia="Times New Roman" w:hAnsi="Times New Roman"/>
          <w:b/>
        </w:rPr>
      </w:pPr>
      <w:r w:rsidRPr="00202F36">
        <w:rPr>
          <w:rFonts w:ascii="Times New Roman" w:eastAsia="Times New Roman" w:hAnsi="Times New Roman"/>
          <w:b/>
        </w:rPr>
        <w:t xml:space="preserve">Definition of Predicting Features: </w:t>
      </w:r>
    </w:p>
    <w:p w14:paraId="421826A0" w14:textId="77777777" w:rsidR="00F273E3" w:rsidRPr="0034416A" w:rsidRDefault="00F273E3" w:rsidP="0097648B">
      <w:pPr>
        <w:rPr>
          <w:rFonts w:ascii="Times New Roman" w:eastAsia="Times New Roman" w:hAnsi="Times New Roman"/>
        </w:rPr>
      </w:pPr>
    </w:p>
    <w:p w14:paraId="338EAA6F" w14:textId="77777777" w:rsidR="0034416A" w:rsidRPr="0034416A" w:rsidRDefault="0034416A" w:rsidP="0034416A">
      <w:pPr>
        <w:rPr>
          <w:rFonts w:ascii="Times New Roman" w:hAnsi="Times New Roman"/>
        </w:rPr>
      </w:pPr>
      <w:r w:rsidRPr="0034416A">
        <w:rPr>
          <w:rFonts w:ascii="Times New Roman" w:hAnsi="Times New Roman"/>
        </w:rPr>
        <w:t xml:space="preserve">The following baseline factors are defined during the </w:t>
      </w:r>
      <w:r>
        <w:rPr>
          <w:rFonts w:ascii="Times New Roman" w:hAnsi="Times New Roman"/>
        </w:rPr>
        <w:t>12</w:t>
      </w:r>
      <w:r w:rsidRPr="0034416A">
        <w:rPr>
          <w:rFonts w:ascii="Times New Roman" w:hAnsi="Times New Roman"/>
        </w:rPr>
        <w:t xml:space="preserve"> months period before initiation</w:t>
      </w:r>
      <w:r w:rsidR="00B3739A">
        <w:rPr>
          <w:rFonts w:ascii="Times New Roman" w:hAnsi="Times New Roman"/>
        </w:rPr>
        <w:t xml:space="preserve"> or prescription</w:t>
      </w:r>
      <w:r w:rsidRPr="0034416A">
        <w:rPr>
          <w:rFonts w:ascii="Times New Roman" w:hAnsi="Times New Roman"/>
        </w:rPr>
        <w:t xml:space="preserve"> of MTX and biologics/</w:t>
      </w:r>
      <w:proofErr w:type="spellStart"/>
      <w:r w:rsidRPr="0034416A">
        <w:rPr>
          <w:rFonts w:ascii="Times New Roman" w:hAnsi="Times New Roman"/>
        </w:rPr>
        <w:t>tofacit</w:t>
      </w:r>
      <w:r w:rsidR="00B3739A">
        <w:rPr>
          <w:rFonts w:ascii="Times New Roman" w:hAnsi="Times New Roman"/>
        </w:rPr>
        <w:t>inib</w:t>
      </w:r>
      <w:proofErr w:type="spellEnd"/>
      <w:r w:rsidR="00B3739A">
        <w:rPr>
          <w:rFonts w:ascii="Times New Roman" w:hAnsi="Times New Roman"/>
        </w:rPr>
        <w:t xml:space="preserve"> unless otherwise indicated. These factors were extracted from claims and EHR and tested for importance in predicting the outcomes</w:t>
      </w:r>
      <w:r w:rsidR="00D7344D">
        <w:rPr>
          <w:rFonts w:ascii="Times New Roman" w:hAnsi="Times New Roman"/>
        </w:rPr>
        <w:t xml:space="preserve"> using a formal variable selection procedure as well as clinical judgment.</w:t>
      </w:r>
      <w:r w:rsidR="00B3739A">
        <w:rPr>
          <w:rFonts w:ascii="Times New Roman" w:hAnsi="Times New Roman"/>
        </w:rPr>
        <w:t xml:space="preserve"> Not all of them were included in the final models.</w:t>
      </w:r>
    </w:p>
    <w:p w14:paraId="032D23CB" w14:textId="77777777" w:rsidR="0034416A" w:rsidRPr="0034416A" w:rsidRDefault="0034416A" w:rsidP="0034416A">
      <w:pPr>
        <w:rPr>
          <w:rFonts w:ascii="Times New Roman" w:hAnsi="Times New Roman"/>
        </w:rPr>
      </w:pPr>
    </w:p>
    <w:p w14:paraId="75C2D073"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lastRenderedPageBreak/>
        <w:t xml:space="preserve">Demographic data from the Patient table: race, region, gender, </w:t>
      </w:r>
      <w:proofErr w:type="spellStart"/>
      <w:r w:rsidRPr="0034416A">
        <w:rPr>
          <w:rFonts w:ascii="Times New Roman" w:hAnsi="Times New Roman"/>
        </w:rPr>
        <w:t>birth_yr</w:t>
      </w:r>
      <w:proofErr w:type="spellEnd"/>
      <w:r w:rsidRPr="0034416A">
        <w:rPr>
          <w:rFonts w:ascii="Times New Roman" w:hAnsi="Times New Roman"/>
        </w:rPr>
        <w:t xml:space="preserve"> (or age), income (zip code based), education (zip code based), IDN vs. multispecialty practice, </w:t>
      </w:r>
      <w:proofErr w:type="spellStart"/>
      <w:r w:rsidRPr="0034416A">
        <w:rPr>
          <w:rFonts w:ascii="Times New Roman" w:hAnsi="Times New Roman"/>
        </w:rPr>
        <w:t>sourceid</w:t>
      </w:r>
      <w:proofErr w:type="spellEnd"/>
      <w:r w:rsidRPr="0034416A">
        <w:rPr>
          <w:rFonts w:ascii="Times New Roman" w:hAnsi="Times New Roman"/>
        </w:rPr>
        <w:t xml:space="preserve"> (provider group can be a hierarchy for modeling)</w:t>
      </w:r>
    </w:p>
    <w:p w14:paraId="4DC3C457"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 xml:space="preserve">Insurance variables from the </w:t>
      </w:r>
      <w:proofErr w:type="spellStart"/>
      <w:r w:rsidRPr="0034416A">
        <w:rPr>
          <w:rFonts w:ascii="Times New Roman" w:hAnsi="Times New Roman"/>
        </w:rPr>
        <w:t>Member_detail</w:t>
      </w:r>
      <w:proofErr w:type="spellEnd"/>
      <w:r w:rsidRPr="0034416A">
        <w:rPr>
          <w:rFonts w:ascii="Times New Roman" w:hAnsi="Times New Roman"/>
        </w:rPr>
        <w:t xml:space="preserve"> table: product (this variab</w:t>
      </w:r>
      <w:r w:rsidR="00D7344D">
        <w:rPr>
          <w:rFonts w:ascii="Times New Roman" w:hAnsi="Times New Roman"/>
        </w:rPr>
        <w:t>le changes over time), BUS (</w:t>
      </w:r>
      <w:proofErr w:type="spellStart"/>
      <w:r w:rsidRPr="0034416A">
        <w:rPr>
          <w:rFonts w:ascii="Times New Roman" w:hAnsi="Times New Roman"/>
        </w:rPr>
        <w:t>commericial</w:t>
      </w:r>
      <w:proofErr w:type="spellEnd"/>
      <w:r w:rsidRPr="0034416A">
        <w:rPr>
          <w:rFonts w:ascii="Times New Roman" w:hAnsi="Times New Roman"/>
        </w:rPr>
        <w:t xml:space="preserve"> or Medicare), ASO, CDHP (consumer driven health plan indicator for access to medical payment products such as HRAs or HSAs. this is potentially very important as high out of pocket will surely impact adherence including primary non-adherence)</w:t>
      </w:r>
    </w:p>
    <w:p w14:paraId="6A50120C" w14:textId="77777777"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Smoking status and BMI from OBSEVATIONS.</w:t>
      </w:r>
    </w:p>
    <w:p w14:paraId="1CD14B66" w14:textId="77777777" w:rsidR="0034416A" w:rsidRPr="00592F95" w:rsidRDefault="0034416A" w:rsidP="00592F95">
      <w:pPr>
        <w:pStyle w:val="ListParagraph"/>
        <w:numPr>
          <w:ilvl w:val="1"/>
          <w:numId w:val="14"/>
        </w:numPr>
        <w:contextualSpacing w:val="0"/>
        <w:rPr>
          <w:rFonts w:ascii="Times New Roman" w:hAnsi="Times New Roman"/>
          <w:color w:val="000000"/>
        </w:rPr>
      </w:pPr>
      <w:r w:rsidRPr="0034416A">
        <w:rPr>
          <w:rFonts w:ascii="Times New Roman" w:hAnsi="Times New Roman"/>
        </w:rPr>
        <w:t>SDS</w:t>
      </w:r>
      <w:r w:rsidR="00592F95">
        <w:rPr>
          <w:rFonts w:ascii="Times New Roman" w:hAnsi="Times New Roman"/>
        </w:rPr>
        <w:t xml:space="preserve"> </w:t>
      </w:r>
      <w:r w:rsidR="00592F95" w:rsidRPr="0034416A">
        <w:rPr>
          <w:rFonts w:ascii="Times New Roman" w:hAnsi="Times New Roman"/>
          <w:color w:val="000000"/>
        </w:rPr>
        <w:t>(signs disease and symptoms)</w:t>
      </w:r>
      <w:r w:rsidRPr="0034416A">
        <w:rPr>
          <w:rFonts w:ascii="Times New Roman" w:hAnsi="Times New Roman"/>
        </w:rPr>
        <w:t xml:space="preserve"> </w:t>
      </w:r>
      <w:r w:rsidR="00D7344D">
        <w:rPr>
          <w:rFonts w:ascii="Times New Roman" w:hAnsi="Times New Roman"/>
        </w:rPr>
        <w:t>associated with all</w:t>
      </w:r>
      <w:r w:rsidRPr="0034416A">
        <w:rPr>
          <w:rFonts w:ascii="Times New Roman" w:hAnsi="Times New Roman"/>
        </w:rPr>
        <w:t xml:space="preserve"> visits: </w:t>
      </w:r>
      <w:r w:rsidR="00D7344D">
        <w:rPr>
          <w:rFonts w:ascii="Times New Roman" w:hAnsi="Times New Roman"/>
        </w:rPr>
        <w:t>RA-related recorded patient complaints such as sleep, depression, anxiety,</w:t>
      </w:r>
      <w:r w:rsidR="00592F95">
        <w:rPr>
          <w:rFonts w:ascii="Times New Roman" w:hAnsi="Times New Roman"/>
        </w:rPr>
        <w:t xml:space="preserve"> daily activities,</w:t>
      </w:r>
      <w:r w:rsidR="00D7344D">
        <w:rPr>
          <w:rFonts w:ascii="Times New Roman" w:hAnsi="Times New Roman"/>
        </w:rPr>
        <w:t xml:space="preserve"> </w:t>
      </w:r>
      <w:r w:rsidR="00592F95">
        <w:rPr>
          <w:rFonts w:ascii="Times New Roman" w:hAnsi="Times New Roman"/>
        </w:rPr>
        <w:t xml:space="preserve">fatigue </w:t>
      </w:r>
      <w:r w:rsidR="00D7344D">
        <w:rPr>
          <w:rFonts w:ascii="Times New Roman" w:hAnsi="Times New Roman"/>
        </w:rPr>
        <w:t xml:space="preserve">and pain (a full list of items is available upon request), and their </w:t>
      </w:r>
      <w:r w:rsidR="00D7344D" w:rsidRPr="0034416A">
        <w:rPr>
          <w:rFonts w:ascii="Times New Roman" w:hAnsi="Times New Roman"/>
        </w:rPr>
        <w:t xml:space="preserve">positive and negative </w:t>
      </w:r>
      <w:r w:rsidR="00D7344D">
        <w:rPr>
          <w:rFonts w:ascii="Times New Roman" w:hAnsi="Times New Roman"/>
        </w:rPr>
        <w:t>sentim</w:t>
      </w:r>
      <w:r w:rsidR="00592F95">
        <w:rPr>
          <w:rFonts w:ascii="Times New Roman" w:hAnsi="Times New Roman"/>
        </w:rPr>
        <w:t>ent.</w:t>
      </w:r>
    </w:p>
    <w:p w14:paraId="24465742" w14:textId="0E2E263B" w:rsidR="0034416A" w:rsidRP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t xml:space="preserve">Hopkins ACG system outputs: </w:t>
      </w:r>
      <w:r w:rsidR="00D7344D">
        <w:rPr>
          <w:rFonts w:ascii="Times New Roman" w:hAnsi="Times New Roman"/>
        </w:rPr>
        <w:t xml:space="preserve">EDCs and </w:t>
      </w:r>
      <w:proofErr w:type="spellStart"/>
      <w:r w:rsidR="00D7344D">
        <w:rPr>
          <w:rFonts w:ascii="Times New Roman" w:hAnsi="Times New Roman"/>
        </w:rPr>
        <w:t>RxMG</w:t>
      </w:r>
      <w:proofErr w:type="spellEnd"/>
      <w:r w:rsidR="00D7344D">
        <w:rPr>
          <w:rFonts w:ascii="Times New Roman" w:hAnsi="Times New Roman"/>
        </w:rPr>
        <w:t>, high level indicators of disease groups based on diagnosis codes and pharmacy claims respectively</w:t>
      </w:r>
      <w:r w:rsidRPr="0034416A">
        <w:rPr>
          <w:rFonts w:ascii="Times New Roman" w:hAnsi="Times New Roman"/>
        </w:rPr>
        <w:t xml:space="preserve"> (these variables are based on claims only for up to 12 months of data before drug initiation as the ACG system is based on 1 year inputs).</w:t>
      </w:r>
      <w:r w:rsidR="00F84318" w:rsidRPr="00F84318">
        <w:rPr>
          <w:color w:val="1F497D"/>
        </w:rPr>
        <w:t xml:space="preserve"> </w:t>
      </w:r>
      <w:r w:rsidR="00F84318">
        <w:rPr>
          <w:rFonts w:ascii="Times New Roman" w:hAnsi="Times New Roman"/>
        </w:rPr>
        <w:t>They should include</w:t>
      </w:r>
      <w:r w:rsidR="00F84318" w:rsidRPr="00F84318">
        <w:rPr>
          <w:rFonts w:ascii="Times New Roman" w:hAnsi="Times New Roman"/>
        </w:rPr>
        <w:t xml:space="preserve"> individual comorbidities</w:t>
      </w:r>
      <w:r w:rsidR="00F84318">
        <w:rPr>
          <w:rFonts w:ascii="Times New Roman" w:hAnsi="Times New Roman"/>
        </w:rPr>
        <w:t xml:space="preserve"> such as</w:t>
      </w:r>
      <w:r w:rsidR="00F84318" w:rsidRPr="00F84318">
        <w:rPr>
          <w:rFonts w:ascii="Times New Roman" w:hAnsi="Times New Roman"/>
        </w:rPr>
        <w:t xml:space="preserve"> depression, anxiety, sleep disorder, certain pain meds, COPD, etc.</w:t>
      </w:r>
    </w:p>
    <w:p w14:paraId="79070682" w14:textId="77777777" w:rsidR="00F84318" w:rsidRPr="00D7344D" w:rsidRDefault="00F84318" w:rsidP="00F84318">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 xml:space="preserve">Percentage of total visits with an RA diagnosis to rheumatologists based on </w:t>
      </w:r>
      <w:proofErr w:type="spellStart"/>
      <w:r w:rsidRPr="00D7344D">
        <w:rPr>
          <w:rFonts w:ascii="Times New Roman" w:hAnsi="Times New Roman"/>
          <w:color w:val="000000" w:themeColor="text1"/>
        </w:rPr>
        <w:t>Medical.provcat</w:t>
      </w:r>
      <w:proofErr w:type="spellEnd"/>
      <w:r w:rsidRPr="00D7344D">
        <w:rPr>
          <w:rFonts w:ascii="Times New Roman" w:hAnsi="Times New Roman"/>
          <w:color w:val="000000" w:themeColor="text1"/>
        </w:rPr>
        <w:t xml:space="preserve"> and </w:t>
      </w:r>
      <w:proofErr w:type="spellStart"/>
      <w:r w:rsidRPr="00D7344D">
        <w:rPr>
          <w:rFonts w:ascii="Times New Roman" w:hAnsi="Times New Roman"/>
          <w:color w:val="000000" w:themeColor="text1"/>
        </w:rPr>
        <w:t>provider.specialty</w:t>
      </w:r>
      <w:proofErr w:type="spellEnd"/>
      <w:r w:rsidRPr="00D7344D">
        <w:rPr>
          <w:rFonts w:ascii="Times New Roman" w:hAnsi="Times New Roman"/>
          <w:color w:val="000000" w:themeColor="text1"/>
        </w:rPr>
        <w:t xml:space="preserve"> during 12 months after RA incident diagnosis (ACR RA management guidelines recommend management of RA patients by rheumatologists. If </w:t>
      </w:r>
      <w:r>
        <w:rPr>
          <w:rFonts w:ascii="Times New Roman" w:hAnsi="Times New Roman"/>
          <w:color w:val="000000" w:themeColor="text1"/>
        </w:rPr>
        <w:t xml:space="preserve">there were </w:t>
      </w:r>
      <w:r w:rsidRPr="00D7344D">
        <w:rPr>
          <w:rFonts w:ascii="Times New Roman" w:hAnsi="Times New Roman"/>
          <w:color w:val="000000" w:themeColor="text1"/>
        </w:rPr>
        <w:t>too many PCP visits with RA diagnosis</w:t>
      </w:r>
      <w:r>
        <w:rPr>
          <w:rFonts w:ascii="Times New Roman" w:hAnsi="Times New Roman"/>
          <w:color w:val="000000" w:themeColor="text1"/>
        </w:rPr>
        <w:t xml:space="preserve"> relative to rheumatologist visits</w:t>
      </w:r>
      <w:r w:rsidRPr="00D7344D">
        <w:rPr>
          <w:rFonts w:ascii="Times New Roman" w:hAnsi="Times New Roman"/>
          <w:color w:val="000000" w:themeColor="text1"/>
        </w:rPr>
        <w:t xml:space="preserve">, this may be an indicator for </w:t>
      </w:r>
      <w:r>
        <w:rPr>
          <w:rFonts w:ascii="Times New Roman" w:hAnsi="Times New Roman"/>
          <w:color w:val="000000" w:themeColor="text1"/>
        </w:rPr>
        <w:t xml:space="preserve">poor specialist </w:t>
      </w:r>
      <w:r w:rsidRPr="00D7344D">
        <w:rPr>
          <w:rFonts w:ascii="Times New Roman" w:hAnsi="Times New Roman"/>
          <w:color w:val="000000" w:themeColor="text1"/>
        </w:rPr>
        <w:t>access and other issues and may impact outcomes)</w:t>
      </w:r>
    </w:p>
    <w:p w14:paraId="1F29BE34"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Number of office visits with a rheumatologist</w:t>
      </w:r>
    </w:p>
    <w:p w14:paraId="1F729048"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Hospital use at baseline from the confinement table</w:t>
      </w:r>
      <w:r w:rsidR="00D7344D">
        <w:rPr>
          <w:rFonts w:ascii="Times New Roman" w:hAnsi="Times New Roman"/>
          <w:color w:val="000000" w:themeColor="text1"/>
        </w:rPr>
        <w:t>: number of hospitalizations and any use</w:t>
      </w:r>
    </w:p>
    <w:p w14:paraId="0915E743"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 xml:space="preserve">ER visits at baseline from the confinement table: Number of visits </w:t>
      </w:r>
      <w:r w:rsidR="00D7344D">
        <w:rPr>
          <w:rFonts w:ascii="Times New Roman" w:hAnsi="Times New Roman"/>
          <w:color w:val="000000" w:themeColor="text1"/>
        </w:rPr>
        <w:t>and</w:t>
      </w:r>
      <w:r w:rsidRPr="00D7344D">
        <w:rPr>
          <w:rFonts w:ascii="Times New Roman" w:hAnsi="Times New Roman"/>
          <w:color w:val="000000" w:themeColor="text1"/>
        </w:rPr>
        <w:t xml:space="preserve"> any use</w:t>
      </w:r>
    </w:p>
    <w:p w14:paraId="2855A54C" w14:textId="77777777" w:rsidR="0034416A" w:rsidRPr="00D7344D" w:rsidRDefault="0034416A" w:rsidP="0034416A">
      <w:pPr>
        <w:pStyle w:val="ListParagraph"/>
        <w:numPr>
          <w:ilvl w:val="1"/>
          <w:numId w:val="14"/>
        </w:numPr>
        <w:contextualSpacing w:val="0"/>
        <w:rPr>
          <w:rFonts w:ascii="Times New Roman" w:hAnsi="Times New Roman"/>
          <w:color w:val="000000" w:themeColor="text1"/>
        </w:rPr>
      </w:pPr>
      <w:r w:rsidRPr="00D7344D">
        <w:rPr>
          <w:rFonts w:ascii="Times New Roman" w:hAnsi="Times New Roman"/>
          <w:color w:val="000000" w:themeColor="text1"/>
        </w:rPr>
        <w:t>Labs: La</w:t>
      </w:r>
      <w:r w:rsidR="00D7344D">
        <w:rPr>
          <w:rFonts w:ascii="Times New Roman" w:hAnsi="Times New Roman"/>
          <w:color w:val="000000" w:themeColor="text1"/>
        </w:rPr>
        <w:t xml:space="preserve">b values extracted during the 12 </w:t>
      </w:r>
      <w:r w:rsidRPr="00D7344D">
        <w:rPr>
          <w:rFonts w:ascii="Times New Roman" w:hAnsi="Times New Roman"/>
          <w:color w:val="000000" w:themeColor="text1"/>
        </w:rPr>
        <w:t>months baseline before drug initiation</w:t>
      </w:r>
      <w:r w:rsidR="00D7344D">
        <w:rPr>
          <w:rFonts w:ascii="Times New Roman" w:hAnsi="Times New Roman"/>
          <w:color w:val="000000" w:themeColor="text1"/>
        </w:rPr>
        <w:t>/prescription</w:t>
      </w:r>
      <w:r w:rsidRPr="00D7344D">
        <w:rPr>
          <w:rFonts w:ascii="Times New Roman" w:hAnsi="Times New Roman"/>
          <w:color w:val="000000" w:themeColor="text1"/>
        </w:rPr>
        <w:t xml:space="preserve"> using the test closest to drug initiation</w:t>
      </w:r>
      <w:r w:rsidR="00D7344D">
        <w:rPr>
          <w:rFonts w:ascii="Times New Roman" w:hAnsi="Times New Roman"/>
          <w:color w:val="000000" w:themeColor="text1"/>
        </w:rPr>
        <w:t>/prescription</w:t>
      </w:r>
      <w:r w:rsidRPr="00D7344D">
        <w:rPr>
          <w:rFonts w:ascii="Times New Roman" w:hAnsi="Times New Roman"/>
          <w:color w:val="000000" w:themeColor="text1"/>
        </w:rPr>
        <w:t xml:space="preserve"> date as either a numeric value or, a binary indicator for abnormality from LABS tables. The following lab values </w:t>
      </w:r>
      <w:r w:rsidR="00D7344D">
        <w:rPr>
          <w:rFonts w:ascii="Times New Roman" w:hAnsi="Times New Roman"/>
          <w:color w:val="000000" w:themeColor="text1"/>
        </w:rPr>
        <w:t>were</w:t>
      </w:r>
      <w:r w:rsidRPr="00D7344D">
        <w:rPr>
          <w:rFonts w:ascii="Times New Roman" w:hAnsi="Times New Roman"/>
          <w:color w:val="000000" w:themeColor="text1"/>
        </w:rPr>
        <w:t xml:space="preserve"> included: ESR (erythrocyte sedimentation rate), C reactive protein (CRP) [note that there are two kinds of inflammation tests, and two units for each of them – regular CRP, and high sensitivity CRP, and units can either be mg/L or mg/</w:t>
      </w:r>
      <w:proofErr w:type="spellStart"/>
      <w:r w:rsidRPr="00D7344D">
        <w:rPr>
          <w:rFonts w:ascii="Times New Roman" w:hAnsi="Times New Roman"/>
          <w:color w:val="000000" w:themeColor="text1"/>
        </w:rPr>
        <w:t>dL</w:t>
      </w:r>
      <w:proofErr w:type="spellEnd"/>
      <w:r w:rsidRPr="00D7344D">
        <w:rPr>
          <w:rFonts w:ascii="Times New Roman" w:hAnsi="Times New Roman"/>
          <w:color w:val="000000" w:themeColor="text1"/>
        </w:rPr>
        <w:t xml:space="preserve"> – the tests themselves do not always correspond to these units]. Other relevant labs include a rheumatoid factor (RF) and anti-CCP antibody, sometimes known as anti-</w:t>
      </w:r>
      <w:proofErr w:type="spellStart"/>
      <w:r w:rsidRPr="00D7344D">
        <w:rPr>
          <w:rFonts w:ascii="Times New Roman" w:hAnsi="Times New Roman"/>
          <w:color w:val="000000" w:themeColor="text1"/>
        </w:rPr>
        <w:t>citrullinated</w:t>
      </w:r>
      <w:proofErr w:type="spellEnd"/>
      <w:r w:rsidRPr="00D7344D">
        <w:rPr>
          <w:rFonts w:ascii="Times New Roman" w:hAnsi="Times New Roman"/>
          <w:color w:val="000000" w:themeColor="text1"/>
        </w:rPr>
        <w:t xml:space="preserve"> protein antibody (ACPA)</w:t>
      </w:r>
    </w:p>
    <w:p w14:paraId="78B311AC" w14:textId="64B1FDAD" w:rsidR="00D7344D" w:rsidRDefault="00F84318" w:rsidP="0034416A">
      <w:pPr>
        <w:pStyle w:val="ListParagraph"/>
        <w:numPr>
          <w:ilvl w:val="1"/>
          <w:numId w:val="14"/>
        </w:numPr>
        <w:contextualSpacing w:val="0"/>
        <w:rPr>
          <w:rFonts w:ascii="Times New Roman" w:hAnsi="Times New Roman"/>
        </w:rPr>
      </w:pPr>
      <w:r w:rsidRPr="00D7344D">
        <w:rPr>
          <w:rFonts w:ascii="Times New Roman" w:hAnsi="Times New Roman"/>
          <w:color w:val="000000" w:themeColor="text1"/>
        </w:rPr>
        <w:t>Disease activit</w:t>
      </w:r>
      <w:r>
        <w:rPr>
          <w:rFonts w:ascii="Times New Roman" w:hAnsi="Times New Roman"/>
          <w:color w:val="000000" w:themeColor="text1"/>
        </w:rPr>
        <w:t>y</w:t>
      </w:r>
      <w:r w:rsidRPr="00D7344D">
        <w:rPr>
          <w:rFonts w:ascii="Times New Roman" w:hAnsi="Times New Roman"/>
          <w:color w:val="000000" w:themeColor="text1"/>
        </w:rPr>
        <w:t>: This</w:t>
      </w:r>
      <w:r w:rsidRPr="0034416A">
        <w:rPr>
          <w:rFonts w:ascii="Times New Roman" w:hAnsi="Times New Roman"/>
        </w:rPr>
        <w:t xml:space="preserve"> information </w:t>
      </w:r>
      <w:r>
        <w:rPr>
          <w:rFonts w:ascii="Times New Roman" w:hAnsi="Times New Roman"/>
        </w:rPr>
        <w:t>was</w:t>
      </w:r>
      <w:r w:rsidRPr="0034416A">
        <w:rPr>
          <w:rFonts w:ascii="Times New Roman" w:hAnsi="Times New Roman"/>
        </w:rPr>
        <w:t xml:space="preserve"> based on RAPID3</w:t>
      </w:r>
      <w:r>
        <w:rPr>
          <w:rFonts w:ascii="Times New Roman" w:hAnsi="Times New Roman"/>
        </w:rPr>
        <w:t>, CDAI, and SDAI</w:t>
      </w:r>
      <w:r w:rsidRPr="0034416A">
        <w:rPr>
          <w:rFonts w:ascii="Times New Roman" w:hAnsi="Times New Roman"/>
        </w:rPr>
        <w:t xml:space="preserve"> at drug initiation</w:t>
      </w:r>
      <w:r>
        <w:rPr>
          <w:rFonts w:ascii="Times New Roman" w:hAnsi="Times New Roman"/>
        </w:rPr>
        <w:t>/prescription</w:t>
      </w:r>
      <w:r w:rsidRPr="0034416A">
        <w:rPr>
          <w:rFonts w:ascii="Times New Roman" w:hAnsi="Times New Roman"/>
        </w:rPr>
        <w:t xml:space="preserve"> +/- 1 months. We expect</w:t>
      </w:r>
      <w:r>
        <w:rPr>
          <w:rFonts w:ascii="Times New Roman" w:hAnsi="Times New Roman"/>
        </w:rPr>
        <w:t xml:space="preserve">ed substantial </w:t>
      </w:r>
      <w:r w:rsidRPr="0034416A">
        <w:rPr>
          <w:rFonts w:ascii="Times New Roman" w:hAnsi="Times New Roman"/>
        </w:rPr>
        <w:t>missing data t</w:t>
      </w:r>
      <w:r>
        <w:rPr>
          <w:rFonts w:ascii="Times New Roman" w:hAnsi="Times New Roman"/>
        </w:rPr>
        <w:t>hough.  As a result</w:t>
      </w:r>
      <w:r w:rsidRPr="0034416A">
        <w:rPr>
          <w:rFonts w:ascii="Times New Roman" w:hAnsi="Times New Roman"/>
        </w:rPr>
        <w:t xml:space="preserve">, </w:t>
      </w:r>
      <w:r>
        <w:rPr>
          <w:rFonts w:ascii="Times New Roman" w:hAnsi="Times New Roman"/>
        </w:rPr>
        <w:t>these</w:t>
      </w:r>
      <w:r w:rsidRPr="0034416A">
        <w:rPr>
          <w:rFonts w:ascii="Times New Roman" w:hAnsi="Times New Roman"/>
        </w:rPr>
        <w:t xml:space="preserve"> multiple disease activity measures </w:t>
      </w:r>
      <w:r>
        <w:rPr>
          <w:rFonts w:ascii="Times New Roman" w:hAnsi="Times New Roman"/>
        </w:rPr>
        <w:t xml:space="preserve">were grouped in the same categories of remission, low disease activity, moderate and high using </w:t>
      </w:r>
      <w:r w:rsidRPr="0034416A">
        <w:rPr>
          <w:rFonts w:ascii="Times New Roman" w:hAnsi="Times New Roman"/>
        </w:rPr>
        <w:t xml:space="preserve">their individual cutoff values </w:t>
      </w:r>
      <w:r>
        <w:rPr>
          <w:rFonts w:ascii="Times New Roman" w:hAnsi="Times New Roman"/>
        </w:rPr>
        <w:t xml:space="preserve">as </w:t>
      </w:r>
      <w:r w:rsidR="00D7344D" w:rsidRPr="0034416A">
        <w:rPr>
          <w:rFonts w:ascii="Times New Roman" w:hAnsi="Times New Roman"/>
        </w:rPr>
        <w:t>recommended by ACR</w:t>
      </w:r>
      <w:r>
        <w:rPr>
          <w:rStyle w:val="FootnoteReference"/>
          <w:rFonts w:ascii="Times New Roman" w:hAnsi="Times New Roman"/>
        </w:rPr>
        <w:footnoteReference w:id="5"/>
      </w:r>
      <w:r>
        <w:rPr>
          <w:rFonts w:ascii="Times New Roman" w:hAnsi="Times New Roman"/>
        </w:rPr>
        <w:t>.</w:t>
      </w:r>
    </w:p>
    <w:p w14:paraId="08B9F51D" w14:textId="1187C9DC" w:rsidR="00592F95" w:rsidRPr="00592F95" w:rsidRDefault="00D7344D" w:rsidP="0034416A">
      <w:pPr>
        <w:pStyle w:val="ListParagraph"/>
        <w:numPr>
          <w:ilvl w:val="1"/>
          <w:numId w:val="14"/>
        </w:numPr>
        <w:contextualSpacing w:val="0"/>
        <w:rPr>
          <w:rFonts w:ascii="Times New Roman" w:hAnsi="Times New Roman"/>
          <w:color w:val="000000"/>
        </w:rPr>
      </w:pPr>
      <w:r w:rsidRPr="00592F95">
        <w:rPr>
          <w:rFonts w:ascii="Times New Roman" w:hAnsi="Times New Roman"/>
        </w:rPr>
        <w:t>P</w:t>
      </w:r>
      <w:r w:rsidR="0034416A" w:rsidRPr="00592F95">
        <w:rPr>
          <w:rFonts w:ascii="Times New Roman" w:hAnsi="Times New Roman"/>
        </w:rPr>
        <w:t xml:space="preserve">ain scores recorded at </w:t>
      </w:r>
      <w:r w:rsidR="00592F95" w:rsidRPr="00592F95">
        <w:rPr>
          <w:rFonts w:ascii="Times New Roman" w:hAnsi="Times New Roman"/>
        </w:rPr>
        <w:t xml:space="preserve">drug initiation/prescription +/- 1 months </w:t>
      </w:r>
      <w:r w:rsidR="0034416A" w:rsidRPr="00592F95">
        <w:rPr>
          <w:rFonts w:ascii="Times New Roman" w:hAnsi="Times New Roman"/>
        </w:rPr>
        <w:t>in Observations, SD</w:t>
      </w:r>
      <w:r w:rsidR="00F84318">
        <w:rPr>
          <w:rFonts w:ascii="Times New Roman" w:hAnsi="Times New Roman"/>
        </w:rPr>
        <w:t xml:space="preserve">S and </w:t>
      </w:r>
      <w:proofErr w:type="spellStart"/>
      <w:r w:rsidR="00F84318">
        <w:rPr>
          <w:rFonts w:ascii="Times New Roman" w:hAnsi="Times New Roman"/>
        </w:rPr>
        <w:t>NLP_measurement</w:t>
      </w:r>
      <w:proofErr w:type="spellEnd"/>
      <w:r w:rsidR="00F84318">
        <w:rPr>
          <w:rFonts w:ascii="Times New Roman" w:hAnsi="Times New Roman"/>
        </w:rPr>
        <w:t xml:space="preserve"> tables. Tender and swollen jo</w:t>
      </w:r>
      <w:r w:rsidR="0034416A" w:rsidRPr="00592F95">
        <w:rPr>
          <w:rFonts w:ascii="Times New Roman" w:hAnsi="Times New Roman"/>
        </w:rPr>
        <w:t xml:space="preserve">int counts </w:t>
      </w:r>
      <w:r w:rsidRPr="00592F95">
        <w:rPr>
          <w:rFonts w:ascii="Times New Roman" w:hAnsi="Times New Roman"/>
        </w:rPr>
        <w:t>were extracted as well</w:t>
      </w:r>
      <w:r w:rsidR="0034416A" w:rsidRPr="00592F95">
        <w:rPr>
          <w:rFonts w:ascii="Times New Roman" w:hAnsi="Times New Roman"/>
        </w:rPr>
        <w:t xml:space="preserve">. </w:t>
      </w:r>
    </w:p>
    <w:p w14:paraId="60FD164D" w14:textId="77777777" w:rsidR="0034416A" w:rsidRPr="00592F95" w:rsidRDefault="00D7344D" w:rsidP="0034416A">
      <w:pPr>
        <w:pStyle w:val="ListParagraph"/>
        <w:numPr>
          <w:ilvl w:val="1"/>
          <w:numId w:val="14"/>
        </w:numPr>
        <w:contextualSpacing w:val="0"/>
        <w:rPr>
          <w:rFonts w:ascii="Times New Roman" w:hAnsi="Times New Roman"/>
          <w:color w:val="000000"/>
        </w:rPr>
      </w:pPr>
      <w:r w:rsidRPr="00592F95">
        <w:rPr>
          <w:rFonts w:ascii="Times New Roman" w:hAnsi="Times New Roman"/>
        </w:rPr>
        <w:t xml:space="preserve">Physical functioning: HAQ, MHA, </w:t>
      </w:r>
      <w:r w:rsidR="0034416A" w:rsidRPr="00592F95">
        <w:rPr>
          <w:rFonts w:ascii="Times New Roman" w:hAnsi="Times New Roman"/>
        </w:rPr>
        <w:t xml:space="preserve">MDHAQ in </w:t>
      </w:r>
      <w:proofErr w:type="spellStart"/>
      <w:r w:rsidR="0034416A" w:rsidRPr="00592F95">
        <w:rPr>
          <w:rFonts w:ascii="Times New Roman" w:hAnsi="Times New Roman"/>
        </w:rPr>
        <w:t>NLP_measurement</w:t>
      </w:r>
      <w:proofErr w:type="spellEnd"/>
      <w:r w:rsidR="0034416A" w:rsidRPr="00592F95">
        <w:rPr>
          <w:rFonts w:ascii="Times New Roman" w:hAnsi="Times New Roman"/>
        </w:rPr>
        <w:t xml:space="preserve"> during drug initiation</w:t>
      </w:r>
      <w:r w:rsidR="00592F95">
        <w:rPr>
          <w:rFonts w:ascii="Times New Roman" w:hAnsi="Times New Roman"/>
        </w:rPr>
        <w:t>/prescription</w:t>
      </w:r>
      <w:r w:rsidR="0034416A" w:rsidRPr="00592F95">
        <w:rPr>
          <w:rFonts w:ascii="Times New Roman" w:hAnsi="Times New Roman"/>
        </w:rPr>
        <w:t xml:space="preserve"> +/-1 month.</w:t>
      </w:r>
      <w:r w:rsidR="0034416A" w:rsidRPr="00592F95">
        <w:rPr>
          <w:rFonts w:ascii="Times New Roman" w:hAnsi="Times New Roman"/>
          <w:color w:val="000000"/>
        </w:rPr>
        <w:t xml:space="preserve"> </w:t>
      </w:r>
    </w:p>
    <w:p w14:paraId="684D6DB9" w14:textId="77777777" w:rsidR="0034416A" w:rsidRPr="0034416A" w:rsidRDefault="0034416A" w:rsidP="0034416A">
      <w:pPr>
        <w:pStyle w:val="ListParagraph"/>
        <w:numPr>
          <w:ilvl w:val="1"/>
          <w:numId w:val="14"/>
        </w:numPr>
        <w:contextualSpacing w:val="0"/>
        <w:rPr>
          <w:rFonts w:ascii="Times New Roman" w:hAnsi="Times New Roman"/>
          <w:color w:val="000000"/>
        </w:rPr>
      </w:pPr>
      <w:r w:rsidRPr="0034416A">
        <w:rPr>
          <w:rFonts w:ascii="Times New Roman" w:hAnsi="Times New Roman"/>
          <w:color w:val="000000"/>
        </w:rPr>
        <w:t xml:space="preserve">“Allergies” to previous drugs: this information </w:t>
      </w:r>
      <w:r w:rsidR="00592F95">
        <w:rPr>
          <w:rFonts w:ascii="Times New Roman" w:hAnsi="Times New Roman"/>
          <w:color w:val="000000"/>
        </w:rPr>
        <w:t>was searched</w:t>
      </w:r>
      <w:r w:rsidRPr="0034416A">
        <w:rPr>
          <w:rFonts w:ascii="Times New Roman" w:hAnsi="Times New Roman"/>
          <w:color w:val="000000"/>
        </w:rPr>
        <w:t xml:space="preserve"> in reasons for switching drugs in the drug rationale table.</w:t>
      </w:r>
    </w:p>
    <w:p w14:paraId="7D7745AB" w14:textId="77777777" w:rsidR="0034416A" w:rsidRDefault="0034416A" w:rsidP="0034416A">
      <w:pPr>
        <w:pStyle w:val="ListParagraph"/>
        <w:numPr>
          <w:ilvl w:val="1"/>
          <w:numId w:val="14"/>
        </w:numPr>
        <w:contextualSpacing w:val="0"/>
        <w:rPr>
          <w:rFonts w:ascii="Times New Roman" w:hAnsi="Times New Roman"/>
        </w:rPr>
      </w:pPr>
      <w:r w:rsidRPr="0034416A">
        <w:rPr>
          <w:rFonts w:ascii="Times New Roman" w:hAnsi="Times New Roman"/>
        </w:rPr>
        <w:lastRenderedPageBreak/>
        <w:t xml:space="preserve">Medication types: Anti-TNFs, other biologics, </w:t>
      </w:r>
      <w:proofErr w:type="spellStart"/>
      <w:r w:rsidRPr="0034416A">
        <w:rPr>
          <w:rFonts w:ascii="Times New Roman" w:hAnsi="Times New Roman"/>
        </w:rPr>
        <w:t>toficitinib</w:t>
      </w:r>
      <w:proofErr w:type="spellEnd"/>
      <w:r w:rsidRPr="0034416A">
        <w:rPr>
          <w:rFonts w:ascii="Times New Roman" w:hAnsi="Times New Roman"/>
        </w:rPr>
        <w:t>, IV vs. SC.</w:t>
      </w:r>
    </w:p>
    <w:p w14:paraId="336E96D4" w14:textId="3AA27DA9" w:rsidR="00AA7847" w:rsidRPr="00F84318" w:rsidRDefault="001E192D" w:rsidP="00AA7847">
      <w:pPr>
        <w:pStyle w:val="ListParagraph"/>
        <w:numPr>
          <w:ilvl w:val="1"/>
          <w:numId w:val="14"/>
        </w:numPr>
        <w:contextualSpacing w:val="0"/>
        <w:rPr>
          <w:rFonts w:ascii="Times New Roman" w:hAnsi="Times New Roman"/>
        </w:rPr>
      </w:pPr>
      <w:r>
        <w:rPr>
          <w:rFonts w:ascii="Times New Roman" w:hAnsi="Times New Roman"/>
        </w:rPr>
        <w:t xml:space="preserve">Drug combination </w:t>
      </w:r>
      <w:r w:rsidR="00F84318">
        <w:rPr>
          <w:rFonts w:ascii="Times New Roman" w:hAnsi="Times New Roman"/>
        </w:rPr>
        <w:t>(presence of b/t for MTX and of MTX for b/t) around initiation/prescription.</w:t>
      </w:r>
    </w:p>
    <w:p w14:paraId="349D2120" w14:textId="77777777" w:rsidR="00BA3DAA" w:rsidRDefault="00BA3DAA" w:rsidP="001C3D7A">
      <w:pPr>
        <w:rPr>
          <w:rFonts w:ascii="Times New Roman" w:eastAsia="Times New Roman" w:hAnsi="Times New Roman"/>
        </w:rPr>
      </w:pPr>
    </w:p>
    <w:p w14:paraId="0B0CA7DD" w14:textId="77777777" w:rsidR="002442D8" w:rsidRDefault="002442D8" w:rsidP="001C3D7A">
      <w:pPr>
        <w:rPr>
          <w:rFonts w:ascii="Times New Roman" w:eastAsia="Times New Roman" w:hAnsi="Times New Roman"/>
        </w:rPr>
      </w:pPr>
      <w:r>
        <w:rPr>
          <w:rFonts w:ascii="Times New Roman" w:eastAsia="Times New Roman" w:hAnsi="Times New Roman"/>
        </w:rPr>
        <w:t>More details of the extracted features are available upon request.</w:t>
      </w:r>
    </w:p>
    <w:p w14:paraId="7F907796" w14:textId="77777777" w:rsidR="002442D8" w:rsidRPr="001C3D7A" w:rsidRDefault="002442D8" w:rsidP="001C3D7A">
      <w:pPr>
        <w:rPr>
          <w:rFonts w:ascii="Times New Roman" w:eastAsia="Times New Roman" w:hAnsi="Times New Roman"/>
        </w:rPr>
      </w:pPr>
    </w:p>
    <w:p w14:paraId="6448BF6F" w14:textId="77777777" w:rsidR="001C3D7A" w:rsidRPr="001C3D7A" w:rsidRDefault="001C3D7A" w:rsidP="001C3D7A">
      <w:pPr>
        <w:rPr>
          <w:rFonts w:ascii="Times New Roman" w:eastAsia="Times New Roman" w:hAnsi="Times New Roman"/>
          <w:b/>
        </w:rPr>
      </w:pPr>
      <w:r w:rsidRPr="001C3D7A">
        <w:rPr>
          <w:rFonts w:ascii="Times New Roman" w:eastAsia="Times New Roman" w:hAnsi="Times New Roman"/>
          <w:b/>
          <w:color w:val="000000"/>
        </w:rPr>
        <w:t xml:space="preserve">Methods: </w:t>
      </w:r>
    </w:p>
    <w:p w14:paraId="55E4EE99" w14:textId="77777777" w:rsidR="0002098C" w:rsidRPr="0002098C" w:rsidRDefault="001C3D7A" w:rsidP="0002098C">
      <w:pPr>
        <w:rPr>
          <w:rFonts w:ascii="Times New Roman" w:eastAsia="Times New Roman" w:hAnsi="Times New Roman"/>
          <w:color w:val="000000"/>
        </w:rPr>
      </w:pPr>
      <w:r w:rsidRPr="007C7E37">
        <w:rPr>
          <w:rFonts w:ascii="Times New Roman" w:eastAsia="Times New Roman" w:hAnsi="Times New Roman"/>
        </w:rPr>
        <w:br/>
      </w:r>
      <w:r w:rsidR="0002098C" w:rsidRPr="0002098C">
        <w:rPr>
          <w:rFonts w:ascii="Times New Roman" w:eastAsia="Times New Roman" w:hAnsi="Times New Roman"/>
          <w:color w:val="000000"/>
        </w:rPr>
        <w:t>For each of our four outcomes, we identified an initial set of candidate features. The candidates included demographic features (e.g. gender and age), information about the individual’s insurance plan (obtained from the MEMBER_DETAIL table), clinical observation features, signs diseases and symptoms (SDS) features extracted from clinical notes, and features extracted using the Johns Hopkins University ACG system (these include high-level features extracted from an individual’s claims history).</w:t>
      </w:r>
    </w:p>
    <w:p w14:paraId="4AA2454A" w14:textId="77777777" w:rsidR="0002098C" w:rsidRPr="0002098C" w:rsidRDefault="0002098C" w:rsidP="0002098C">
      <w:pPr>
        <w:rPr>
          <w:rFonts w:ascii="Times New Roman" w:eastAsia="Times New Roman" w:hAnsi="Times New Roman"/>
          <w:color w:val="000000"/>
        </w:rPr>
      </w:pPr>
    </w:p>
    <w:p w14:paraId="4E48FC54"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This resulted in hundreds of possible features, which would cause our model estimates to over-fit to our relatively small sample. To address this issue, we used L1-penalized logistic regression (the “lasso”) to perform model selection. Specifically, we evaluated the cross-validated misclassification error across a wide range of L1-penalty parameters and chose the largest such penalty (i.e. the simplest model) that was within one standard deviation of the parameter that achieved the minimum. This criterion generally selects more conservative model complexities, which was especially important in this study because we primarily focused on model interpretability. We note, however, that in some cases the one-standard-deviation rule returned the null model (i.e. that including the intercept only), and so we chose the penalty that achieved the minimum cross-validated misclassification error.</w:t>
      </w:r>
    </w:p>
    <w:p w14:paraId="6104F130" w14:textId="77777777" w:rsidR="0002098C" w:rsidRPr="0002098C" w:rsidRDefault="0002098C" w:rsidP="0002098C">
      <w:pPr>
        <w:rPr>
          <w:rFonts w:ascii="Times New Roman" w:eastAsia="Times New Roman" w:hAnsi="Times New Roman"/>
          <w:color w:val="000000"/>
        </w:rPr>
      </w:pPr>
    </w:p>
    <w:p w14:paraId="15A5B401"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After selecting an L1-penalty, we refit the penalized model on the entire dataset to select the features that we would include in our final model (i.e. those with non-zero coefficient in the regression). Finally, to obtain our effect estimates we refit the logistic regression without the L1-penalty using only the features with non-zero weights from the variable selection step.</w:t>
      </w:r>
    </w:p>
    <w:p w14:paraId="10F73D9E" w14:textId="77777777" w:rsidR="0002098C" w:rsidRPr="0002098C" w:rsidRDefault="0002098C" w:rsidP="0002098C">
      <w:pPr>
        <w:rPr>
          <w:rFonts w:ascii="Times New Roman" w:eastAsia="Times New Roman" w:hAnsi="Times New Roman"/>
          <w:color w:val="000000"/>
        </w:rPr>
      </w:pPr>
    </w:p>
    <w:p w14:paraId="7803932A" w14:textId="77777777" w:rsidR="0002098C" w:rsidRPr="0002098C" w:rsidRDefault="0002098C" w:rsidP="0002098C">
      <w:pPr>
        <w:rPr>
          <w:rFonts w:ascii="Times New Roman" w:eastAsia="Times New Roman" w:hAnsi="Times New Roman"/>
          <w:color w:val="000000"/>
        </w:rPr>
      </w:pPr>
      <w:r w:rsidRPr="0002098C">
        <w:rPr>
          <w:rFonts w:ascii="Times New Roman" w:eastAsia="Times New Roman" w:hAnsi="Times New Roman"/>
          <w:color w:val="000000"/>
        </w:rPr>
        <w:t>To assess the generalization of our final feature set, we used four-fold cross-validation to estimate the logistic regression and make predictions on unseen patients. We computed the area under the curve (AUC) using the model’s predicted outcome probability for each fold. We note that while the weights for these models were learned independently for each fold, the way in which we chose the final features out of our candidate pool used all of the data. Because of this, our estimates of generalization performance are likely optimistic (i.e. biased upward). In future work, our goal is to obtain a larger study cohort so that we can assess generalization using a fresh sample.</w:t>
      </w:r>
    </w:p>
    <w:p w14:paraId="3C319803" w14:textId="77777777" w:rsidR="0002098C" w:rsidRDefault="0002098C" w:rsidP="001C3D7A">
      <w:pPr>
        <w:rPr>
          <w:rFonts w:ascii="Times New Roman" w:eastAsia="Times New Roman" w:hAnsi="Times New Roman"/>
          <w:color w:val="FF0000"/>
        </w:rPr>
      </w:pPr>
    </w:p>
    <w:p w14:paraId="55A17857" w14:textId="77777777" w:rsidR="00EB7216" w:rsidRDefault="00EB7216" w:rsidP="001C3D7A">
      <w:pPr>
        <w:rPr>
          <w:rFonts w:ascii="Times New Roman" w:hAnsi="Times New Roman"/>
        </w:rPr>
      </w:pPr>
    </w:p>
    <w:p w14:paraId="2E9285DC" w14:textId="77777777" w:rsidR="00302E39" w:rsidRDefault="00302E39" w:rsidP="001C3D7A">
      <w:pPr>
        <w:rPr>
          <w:rFonts w:ascii="Times New Roman" w:hAnsi="Times New Roman"/>
        </w:rPr>
      </w:pPr>
    </w:p>
    <w:p w14:paraId="4626241C" w14:textId="77777777" w:rsidR="002F6C2A" w:rsidRDefault="002F6C2A" w:rsidP="001C3D7A">
      <w:pPr>
        <w:rPr>
          <w:rFonts w:ascii="Times New Roman" w:hAnsi="Times New Roman"/>
          <w:b/>
        </w:rPr>
      </w:pPr>
    </w:p>
    <w:p w14:paraId="4044222F" w14:textId="77777777" w:rsidR="002F6C2A" w:rsidRDefault="002F6C2A" w:rsidP="001C3D7A">
      <w:pPr>
        <w:rPr>
          <w:rFonts w:ascii="Times New Roman" w:hAnsi="Times New Roman"/>
          <w:b/>
        </w:rPr>
      </w:pPr>
    </w:p>
    <w:p w14:paraId="33D80A75" w14:textId="77777777" w:rsidR="00395221" w:rsidRDefault="00395221" w:rsidP="001C3D7A">
      <w:pPr>
        <w:rPr>
          <w:rFonts w:ascii="Times New Roman" w:hAnsi="Times New Roman"/>
          <w:b/>
        </w:rPr>
      </w:pPr>
    </w:p>
    <w:p w14:paraId="02160300" w14:textId="6F077BEF" w:rsidR="00395221" w:rsidRDefault="00395221" w:rsidP="001C3D7A">
      <w:pPr>
        <w:rPr>
          <w:rFonts w:ascii="Times New Roman" w:hAnsi="Times New Roman"/>
          <w:b/>
        </w:rPr>
      </w:pPr>
      <w:r>
        <w:rPr>
          <w:rFonts w:ascii="Times New Roman" w:hAnsi="Times New Roman"/>
          <w:b/>
        </w:rPr>
        <w:t>Sample:</w:t>
      </w:r>
    </w:p>
    <w:p w14:paraId="217DB7F8" w14:textId="33309646" w:rsidR="00395221" w:rsidRDefault="00395221" w:rsidP="001C3D7A">
      <w:pPr>
        <w:rPr>
          <w:rFonts w:ascii="Times New Roman" w:hAnsi="Times New Roman"/>
          <w:b/>
        </w:rPr>
      </w:pPr>
      <w:r>
        <w:rPr>
          <w:rFonts w:ascii="Times New Roman" w:hAnsi="Times New Roman"/>
          <w:b/>
        </w:rPr>
        <w:t xml:space="preserve"> </w:t>
      </w:r>
    </w:p>
    <w:p w14:paraId="0D2A84AD" w14:textId="77777777" w:rsidR="00395221" w:rsidRPr="00395221" w:rsidRDefault="00395221" w:rsidP="001C3D7A">
      <w:pPr>
        <w:rPr>
          <w:rFonts w:ascii="Times New Roman" w:hAnsi="Times New Roman"/>
        </w:rPr>
      </w:pPr>
    </w:p>
    <w:p w14:paraId="2774C803" w14:textId="77777777" w:rsidR="00395221" w:rsidRPr="00395221" w:rsidRDefault="00395221" w:rsidP="00395221">
      <w:pPr>
        <w:rPr>
          <w:rFonts w:ascii="Times New Roman" w:hAnsi="Times New Roman"/>
        </w:rPr>
      </w:pPr>
    </w:p>
    <w:p w14:paraId="4629F1A2" w14:textId="77777777" w:rsidR="00395221" w:rsidRPr="00395221" w:rsidRDefault="00395221" w:rsidP="00395221">
      <w:pPr>
        <w:rPr>
          <w:rFonts w:ascii="Times New Roman" w:hAnsi="Times New Roman"/>
        </w:rPr>
      </w:pPr>
    </w:p>
    <w:p w14:paraId="0B3C02C5" w14:textId="77777777" w:rsidR="00395221" w:rsidRDefault="00395221" w:rsidP="00395221">
      <w:pPr>
        <w:rPr>
          <w:rFonts w:ascii="Times New Roman" w:hAnsi="Times New Roman"/>
        </w:rPr>
      </w:pPr>
    </w:p>
    <w:p w14:paraId="107CCCA5" w14:textId="77777777" w:rsidR="00395221" w:rsidRDefault="00395221" w:rsidP="00395221">
      <w:pPr>
        <w:rPr>
          <w:rFonts w:ascii="Times New Roman" w:hAnsi="Times New Roman"/>
        </w:rPr>
      </w:pPr>
    </w:p>
    <w:p w14:paraId="1EC380E1" w14:textId="77777777" w:rsidR="00395221" w:rsidRDefault="00395221" w:rsidP="00395221">
      <w:pPr>
        <w:rPr>
          <w:rFonts w:ascii="Times New Roman" w:hAnsi="Times New Roman"/>
        </w:rPr>
      </w:pPr>
    </w:p>
    <w:p w14:paraId="4D33EE49" w14:textId="77777777" w:rsidR="00395221" w:rsidRDefault="00395221" w:rsidP="00395221">
      <w:pPr>
        <w:rPr>
          <w:rFonts w:ascii="Times New Roman" w:hAnsi="Times New Roman"/>
        </w:rPr>
      </w:pPr>
    </w:p>
    <w:p w14:paraId="6C89BCBC" w14:textId="01BDD194" w:rsidR="00395221" w:rsidRPr="00395221" w:rsidRDefault="00395221" w:rsidP="00395221">
      <w:pPr>
        <w:rPr>
          <w:rFonts w:ascii="Times New Roman" w:hAnsi="Times New Roman"/>
          <w:b/>
        </w:rPr>
      </w:pPr>
      <w:r w:rsidRPr="00395221">
        <w:rPr>
          <w:rFonts w:ascii="Times New Roman" w:hAnsi="Times New Roman"/>
          <w:b/>
        </w:rPr>
        <w:lastRenderedPageBreak/>
        <w:t>Sample</w:t>
      </w:r>
      <w:r w:rsidR="00B925D3">
        <w:rPr>
          <w:rFonts w:ascii="Times New Roman" w:hAnsi="Times New Roman"/>
          <w:b/>
        </w:rPr>
        <w:t xml:space="preserve"> for Primary Adherence</w:t>
      </w:r>
      <w:r w:rsidRPr="00395221">
        <w:rPr>
          <w:rFonts w:ascii="Times New Roman" w:hAnsi="Times New Roman"/>
          <w:b/>
        </w:rPr>
        <w:t>:</w:t>
      </w:r>
    </w:p>
    <w:p w14:paraId="3DE1A276" w14:textId="77777777" w:rsidR="00395221" w:rsidRDefault="00395221" w:rsidP="00395221">
      <w:pPr>
        <w:rPr>
          <w:rFonts w:ascii="Times New Roman" w:hAnsi="Times New Roman"/>
        </w:rPr>
      </w:pPr>
    </w:p>
    <w:p w14:paraId="4C7872C4" w14:textId="5D60389E" w:rsidR="005F60BF" w:rsidRDefault="005F60BF" w:rsidP="00395221">
      <w:pPr>
        <w:rPr>
          <w:rFonts w:ascii="Times New Roman" w:hAnsi="Times New Roman"/>
        </w:rPr>
      </w:pPr>
      <w:r>
        <w:rPr>
          <w:rFonts w:ascii="Times New Roman" w:hAnsi="Times New Roman"/>
        </w:rPr>
        <w:t>This sampling scheme tried to achieve the best balance between sample size, early clean cohort</w:t>
      </w:r>
      <w:r w:rsidR="00330A61">
        <w:rPr>
          <w:rFonts w:ascii="Times New Roman" w:hAnsi="Times New Roman"/>
        </w:rPr>
        <w:t>s</w:t>
      </w:r>
      <w:r>
        <w:rPr>
          <w:rFonts w:ascii="Times New Roman" w:hAnsi="Times New Roman"/>
        </w:rPr>
        <w:t xml:space="preserve">, and validity in case identification. </w:t>
      </w:r>
    </w:p>
    <w:p w14:paraId="43D7975A" w14:textId="77777777" w:rsidR="005F60BF" w:rsidRDefault="005F60BF" w:rsidP="00395221">
      <w:pPr>
        <w:rPr>
          <w:rFonts w:ascii="Times New Roman" w:hAnsi="Times New Roman"/>
        </w:rPr>
      </w:pPr>
    </w:p>
    <w:p w14:paraId="5D052C90" w14:textId="5662F818" w:rsidR="00395221" w:rsidRPr="00395221" w:rsidRDefault="00395221" w:rsidP="00395221">
      <w:pPr>
        <w:rPr>
          <w:rFonts w:ascii="Times New Roman" w:hAnsi="Times New Roman"/>
        </w:rPr>
      </w:pPr>
      <w:r>
        <w:rPr>
          <w:rFonts w:ascii="Times New Roman" w:hAnsi="Times New Roman"/>
        </w:rPr>
        <w:t>Step1: We first identified</w:t>
      </w:r>
      <w:r w:rsidRPr="00395221">
        <w:rPr>
          <w:rFonts w:ascii="Times New Roman" w:hAnsi="Times New Roman"/>
        </w:rPr>
        <w:t xml:space="preserve"> the very first RA inpatient/outpatient diagnosis in claims </w:t>
      </w:r>
      <w:r w:rsidR="00DC4B5A">
        <w:rPr>
          <w:rFonts w:ascii="Times New Roman" w:hAnsi="Times New Roman"/>
        </w:rPr>
        <w:t>based on</w:t>
      </w:r>
      <w:r w:rsidRPr="00395221">
        <w:rPr>
          <w:rFonts w:ascii="Times New Roman" w:hAnsi="Times New Roman"/>
        </w:rPr>
        <w:t xml:space="preserve"> inpatient and outpatient claims and then required at least one more RA diagnosis 7 days apart within 12 months of the first diagnosis. </w:t>
      </w:r>
      <w:r>
        <w:rPr>
          <w:rFonts w:ascii="Times New Roman" w:hAnsi="Times New Roman"/>
        </w:rPr>
        <w:t>Patients</w:t>
      </w:r>
      <w:r w:rsidRPr="00395221">
        <w:rPr>
          <w:rFonts w:ascii="Times New Roman" w:hAnsi="Times New Roman"/>
        </w:rPr>
        <w:t xml:space="preserve"> were required to be &gt;=18 years old at the first diagnosis. </w:t>
      </w:r>
    </w:p>
    <w:p w14:paraId="2DD48730" w14:textId="77777777" w:rsidR="00DC4B5A" w:rsidRDefault="00DC4B5A" w:rsidP="00395221">
      <w:pPr>
        <w:rPr>
          <w:rFonts w:ascii="Times New Roman" w:hAnsi="Times New Roman"/>
        </w:rPr>
      </w:pPr>
    </w:p>
    <w:p w14:paraId="41296F34" w14:textId="4F68FC9C" w:rsidR="00395221" w:rsidRPr="00395221" w:rsidRDefault="00395221" w:rsidP="00395221">
      <w:pPr>
        <w:rPr>
          <w:rFonts w:ascii="Times New Roman" w:hAnsi="Times New Roman"/>
        </w:rPr>
      </w:pPr>
      <w:r w:rsidRPr="00395221">
        <w:rPr>
          <w:rFonts w:ascii="Times New Roman" w:hAnsi="Times New Roman"/>
        </w:rPr>
        <w:t>Diagnoses</w:t>
      </w:r>
      <w:r>
        <w:rPr>
          <w:rFonts w:ascii="Times New Roman" w:hAnsi="Times New Roman"/>
        </w:rPr>
        <w:t xml:space="preserve"> from outpatient claims associated with lab, </w:t>
      </w:r>
      <w:r w:rsidRPr="00395221">
        <w:rPr>
          <w:rFonts w:ascii="Times New Roman" w:hAnsi="Times New Roman"/>
        </w:rPr>
        <w:t>x-ray claims and oth</w:t>
      </w:r>
      <w:r>
        <w:rPr>
          <w:rFonts w:ascii="Times New Roman" w:hAnsi="Times New Roman"/>
        </w:rPr>
        <w:t xml:space="preserve">er provisional diagnoses </w:t>
      </w:r>
      <w:r w:rsidRPr="00395221">
        <w:rPr>
          <w:rFonts w:ascii="Times New Roman" w:hAnsi="Times New Roman"/>
        </w:rPr>
        <w:t>were</w:t>
      </w:r>
      <w:r>
        <w:rPr>
          <w:rFonts w:ascii="Times New Roman" w:hAnsi="Times New Roman"/>
        </w:rPr>
        <w:t xml:space="preserve"> excluded (</w:t>
      </w:r>
      <w:r w:rsidRPr="00395221">
        <w:rPr>
          <w:rFonts w:ascii="Times New Roman" w:hAnsi="Times New Roman"/>
        </w:rPr>
        <w:t xml:space="preserve">at this stage no </w:t>
      </w:r>
      <w:r w:rsidR="00DC4B5A">
        <w:rPr>
          <w:rFonts w:ascii="Times New Roman" w:hAnsi="Times New Roman"/>
        </w:rPr>
        <w:t>other requirements imposed</w:t>
      </w:r>
      <w:r w:rsidRPr="00395221">
        <w:rPr>
          <w:rFonts w:ascii="Times New Roman" w:hAnsi="Times New Roman"/>
        </w:rPr>
        <w:t xml:space="preserve">. </w:t>
      </w:r>
      <w:r>
        <w:rPr>
          <w:rFonts w:ascii="Times New Roman" w:hAnsi="Times New Roman"/>
        </w:rPr>
        <w:t>So</w:t>
      </w:r>
      <w:r w:rsidRPr="00395221">
        <w:rPr>
          <w:rFonts w:ascii="Times New Roman" w:hAnsi="Times New Roman"/>
        </w:rPr>
        <w:t xml:space="preserve"> these are the max RA cases regardless </w:t>
      </w:r>
      <w:r w:rsidR="00330A61">
        <w:rPr>
          <w:rFonts w:ascii="Times New Roman" w:hAnsi="Times New Roman"/>
        </w:rPr>
        <w:t xml:space="preserve">of </w:t>
      </w:r>
      <w:r w:rsidRPr="00395221">
        <w:rPr>
          <w:rFonts w:ascii="Times New Roman" w:hAnsi="Times New Roman"/>
        </w:rPr>
        <w:t>enrollment and previous conditions</w:t>
      </w:r>
      <w:r>
        <w:rPr>
          <w:rFonts w:ascii="Times New Roman" w:hAnsi="Times New Roman"/>
        </w:rPr>
        <w:t xml:space="preserve">). They can be </w:t>
      </w:r>
      <w:r w:rsidRPr="00395221">
        <w:rPr>
          <w:rFonts w:ascii="Times New Roman" w:hAnsi="Times New Roman"/>
        </w:rPr>
        <w:t>incident and prevalent cases.</w:t>
      </w:r>
    </w:p>
    <w:p w14:paraId="6D9BEF56" w14:textId="77777777" w:rsidR="00395221" w:rsidRPr="00395221" w:rsidRDefault="00395221" w:rsidP="00395221">
      <w:pPr>
        <w:rPr>
          <w:rFonts w:ascii="Times New Roman" w:hAnsi="Times New Roman"/>
        </w:rPr>
      </w:pPr>
    </w:p>
    <w:p w14:paraId="5586D348" w14:textId="7A6FDFCC" w:rsidR="00395221" w:rsidRPr="00395221" w:rsidRDefault="00395221" w:rsidP="00395221">
      <w:pPr>
        <w:rPr>
          <w:rFonts w:ascii="Times New Roman" w:hAnsi="Times New Roman"/>
        </w:rPr>
      </w:pPr>
      <w:r>
        <w:rPr>
          <w:rFonts w:ascii="Times New Roman" w:hAnsi="Times New Roman"/>
        </w:rPr>
        <w:t>S</w:t>
      </w:r>
      <w:r w:rsidRPr="00395221">
        <w:rPr>
          <w:rFonts w:ascii="Times New Roman" w:hAnsi="Times New Roman"/>
        </w:rPr>
        <w:t xml:space="preserve">tep 2: We identified all MTX oral and SC </w:t>
      </w:r>
      <w:r w:rsidR="0007528C">
        <w:rPr>
          <w:rFonts w:ascii="Times New Roman" w:hAnsi="Times New Roman"/>
        </w:rPr>
        <w:t>(</w:t>
      </w:r>
      <w:r w:rsidR="00330A61">
        <w:rPr>
          <w:rFonts w:ascii="Times New Roman" w:hAnsi="Times New Roman"/>
        </w:rPr>
        <w:t xml:space="preserve">and </w:t>
      </w:r>
      <w:r w:rsidR="0007528C">
        <w:rPr>
          <w:rFonts w:ascii="Times New Roman" w:hAnsi="Times New Roman"/>
        </w:rPr>
        <w:t>biologics/</w:t>
      </w:r>
      <w:proofErr w:type="spellStart"/>
      <w:r w:rsidR="0007528C">
        <w:rPr>
          <w:rFonts w:ascii="Times New Roman" w:hAnsi="Times New Roman"/>
        </w:rPr>
        <w:t>tofacitinib</w:t>
      </w:r>
      <w:proofErr w:type="spellEnd"/>
      <w:r w:rsidR="0007528C">
        <w:rPr>
          <w:rFonts w:ascii="Times New Roman" w:hAnsi="Times New Roman"/>
        </w:rPr>
        <w:t xml:space="preserve">) </w:t>
      </w:r>
      <w:r w:rsidRPr="00395221">
        <w:rPr>
          <w:rFonts w:ascii="Times New Roman" w:hAnsi="Times New Roman"/>
        </w:rPr>
        <w:t xml:space="preserve">prescriptions </w:t>
      </w:r>
      <w:r>
        <w:rPr>
          <w:rFonts w:ascii="Times New Roman" w:hAnsi="Times New Roman"/>
        </w:rPr>
        <w:t>from</w:t>
      </w:r>
      <w:r w:rsidRPr="00395221">
        <w:rPr>
          <w:rFonts w:ascii="Times New Roman" w:hAnsi="Times New Roman"/>
        </w:rPr>
        <w:t xml:space="preserve"> EHR</w:t>
      </w:r>
      <w:r>
        <w:rPr>
          <w:rFonts w:ascii="Times New Roman" w:hAnsi="Times New Roman"/>
        </w:rPr>
        <w:t>. W</w:t>
      </w:r>
      <w:r w:rsidRPr="00395221">
        <w:rPr>
          <w:rFonts w:ascii="Times New Roman" w:hAnsi="Times New Roman"/>
        </w:rPr>
        <w:t xml:space="preserve">e joined these MTX </w:t>
      </w:r>
      <w:r w:rsidR="0007528C">
        <w:rPr>
          <w:rFonts w:ascii="Times New Roman" w:hAnsi="Times New Roman"/>
        </w:rPr>
        <w:t>(biologics/</w:t>
      </w:r>
      <w:proofErr w:type="spellStart"/>
      <w:r w:rsidR="0007528C">
        <w:rPr>
          <w:rFonts w:ascii="Times New Roman" w:hAnsi="Times New Roman"/>
        </w:rPr>
        <w:t>tofacitinib</w:t>
      </w:r>
      <w:proofErr w:type="spellEnd"/>
      <w:r w:rsidR="0007528C">
        <w:rPr>
          <w:rFonts w:ascii="Times New Roman" w:hAnsi="Times New Roman"/>
        </w:rPr>
        <w:t xml:space="preserve">) prescriptions </w:t>
      </w:r>
      <w:r w:rsidRPr="00395221">
        <w:rPr>
          <w:rFonts w:ascii="Times New Roman" w:hAnsi="Times New Roman"/>
        </w:rPr>
        <w:t>with first RA diagnosis date</w:t>
      </w:r>
      <w:r w:rsidR="00330A61">
        <w:rPr>
          <w:rFonts w:ascii="Times New Roman" w:hAnsi="Times New Roman"/>
        </w:rPr>
        <w:t xml:space="preserve"> based on claims</w:t>
      </w:r>
      <w:r w:rsidRPr="00395221">
        <w:rPr>
          <w:rFonts w:ascii="Times New Roman" w:hAnsi="Times New Roman"/>
        </w:rPr>
        <w:t xml:space="preserve"> and excluded </w:t>
      </w:r>
      <w:r>
        <w:rPr>
          <w:rFonts w:ascii="Times New Roman" w:hAnsi="Times New Roman"/>
        </w:rPr>
        <w:t>prescriptions</w:t>
      </w:r>
      <w:r w:rsidRPr="00395221">
        <w:rPr>
          <w:rFonts w:ascii="Times New Roman" w:hAnsi="Times New Roman"/>
        </w:rPr>
        <w:t xml:space="preserve"> before first RA diagnosis but not those patients</w:t>
      </w:r>
      <w:r>
        <w:rPr>
          <w:rFonts w:ascii="Times New Roman" w:hAnsi="Times New Roman"/>
        </w:rPr>
        <w:t>. Th</w:t>
      </w:r>
      <w:r w:rsidRPr="00395221">
        <w:rPr>
          <w:rFonts w:ascii="Times New Roman" w:hAnsi="Times New Roman"/>
        </w:rPr>
        <w:t xml:space="preserve">e remaining patients have </w:t>
      </w:r>
      <w:r w:rsidR="00DC4B5A">
        <w:rPr>
          <w:rFonts w:ascii="Times New Roman" w:hAnsi="Times New Roman"/>
        </w:rPr>
        <w:t xml:space="preserve">their truncated </w:t>
      </w:r>
      <w:r w:rsidRPr="00395221">
        <w:rPr>
          <w:rFonts w:ascii="Times New Roman" w:hAnsi="Times New Roman"/>
        </w:rPr>
        <w:t>first MTX</w:t>
      </w:r>
      <w:r w:rsidR="0007528C">
        <w:rPr>
          <w:rFonts w:ascii="Times New Roman" w:hAnsi="Times New Roman"/>
        </w:rPr>
        <w:t xml:space="preserve"> (biologics/</w:t>
      </w:r>
      <w:proofErr w:type="spellStart"/>
      <w:r w:rsidR="0007528C">
        <w:rPr>
          <w:rFonts w:ascii="Times New Roman" w:hAnsi="Times New Roman"/>
        </w:rPr>
        <w:t>tofacitinib</w:t>
      </w:r>
      <w:proofErr w:type="spellEnd"/>
      <w:r w:rsidR="0007528C">
        <w:rPr>
          <w:rFonts w:ascii="Times New Roman" w:hAnsi="Times New Roman"/>
        </w:rPr>
        <w:t>)</w:t>
      </w:r>
      <w:r w:rsidRPr="00395221">
        <w:rPr>
          <w:rFonts w:ascii="Times New Roman" w:hAnsi="Times New Roman"/>
        </w:rPr>
        <w:t xml:space="preserve"> </w:t>
      </w:r>
      <w:r>
        <w:rPr>
          <w:rFonts w:ascii="Times New Roman" w:hAnsi="Times New Roman"/>
        </w:rPr>
        <w:t>prescription</w:t>
      </w:r>
      <w:r w:rsidRPr="00395221">
        <w:rPr>
          <w:rFonts w:ascii="Times New Roman" w:hAnsi="Times New Roman"/>
        </w:rPr>
        <w:t xml:space="preserve"> at or</w:t>
      </w:r>
      <w:r w:rsidR="00330A61">
        <w:rPr>
          <w:rFonts w:ascii="Times New Roman" w:hAnsi="Times New Roman"/>
        </w:rPr>
        <w:t xml:space="preserve"> after first RA diagnosis. S</w:t>
      </w:r>
      <w:r w:rsidRPr="00395221">
        <w:rPr>
          <w:rFonts w:ascii="Times New Roman" w:hAnsi="Times New Roman"/>
        </w:rPr>
        <w:t xml:space="preserve">ome of </w:t>
      </w:r>
      <w:r>
        <w:rPr>
          <w:rFonts w:ascii="Times New Roman" w:hAnsi="Times New Roman"/>
        </w:rPr>
        <w:t xml:space="preserve">the prescriptions occurred </w:t>
      </w:r>
      <w:r w:rsidRPr="00395221">
        <w:rPr>
          <w:rFonts w:ascii="Times New Roman" w:hAnsi="Times New Roman"/>
        </w:rPr>
        <w:t>a lot behind diagnosis</w:t>
      </w:r>
      <w:r>
        <w:rPr>
          <w:rFonts w:ascii="Times New Roman" w:hAnsi="Times New Roman"/>
        </w:rPr>
        <w:t>, indicating incomplete EHR data.</w:t>
      </w:r>
    </w:p>
    <w:p w14:paraId="754180DC" w14:textId="77777777" w:rsidR="00395221" w:rsidRDefault="00395221" w:rsidP="00395221">
      <w:pPr>
        <w:rPr>
          <w:rFonts w:ascii="Times New Roman" w:hAnsi="Times New Roman"/>
        </w:rPr>
      </w:pPr>
    </w:p>
    <w:p w14:paraId="3FC2E617" w14:textId="3869DFBE" w:rsidR="00DE28CF" w:rsidRDefault="00395221" w:rsidP="00395221">
      <w:pPr>
        <w:rPr>
          <w:rFonts w:ascii="Times New Roman" w:hAnsi="Times New Roman"/>
        </w:rPr>
      </w:pPr>
      <w:r>
        <w:rPr>
          <w:rFonts w:ascii="Times New Roman" w:hAnsi="Times New Roman"/>
        </w:rPr>
        <w:t>S</w:t>
      </w:r>
      <w:r w:rsidR="00330A61">
        <w:rPr>
          <w:rFonts w:ascii="Times New Roman" w:hAnsi="Times New Roman"/>
        </w:rPr>
        <w:t>tep 3: T</w:t>
      </w:r>
      <w:r w:rsidRPr="00395221">
        <w:rPr>
          <w:rFonts w:ascii="Times New Roman" w:hAnsi="Times New Roman"/>
        </w:rPr>
        <w:t xml:space="preserve">he first MTX </w:t>
      </w:r>
      <w:r w:rsidR="0007528C">
        <w:rPr>
          <w:rFonts w:ascii="Times New Roman" w:hAnsi="Times New Roman"/>
        </w:rPr>
        <w:t>(biologics/</w:t>
      </w:r>
      <w:proofErr w:type="spellStart"/>
      <w:r w:rsidR="0007528C">
        <w:rPr>
          <w:rFonts w:ascii="Times New Roman" w:hAnsi="Times New Roman"/>
        </w:rPr>
        <w:t>tofacitinib</w:t>
      </w:r>
      <w:proofErr w:type="spellEnd"/>
      <w:r w:rsidR="0007528C">
        <w:rPr>
          <w:rFonts w:ascii="Times New Roman" w:hAnsi="Times New Roman"/>
        </w:rPr>
        <w:t xml:space="preserve">) prescription </w:t>
      </w:r>
      <w:r w:rsidRPr="00395221">
        <w:rPr>
          <w:rFonts w:ascii="Times New Roman" w:hAnsi="Times New Roman"/>
        </w:rPr>
        <w:t xml:space="preserve">date </w:t>
      </w:r>
      <w:r w:rsidR="00DC4B5A">
        <w:rPr>
          <w:rFonts w:ascii="Times New Roman" w:hAnsi="Times New Roman"/>
        </w:rPr>
        <w:t>after first RA diagnosis</w:t>
      </w:r>
      <w:r w:rsidR="00330A61">
        <w:rPr>
          <w:rFonts w:ascii="Times New Roman" w:hAnsi="Times New Roman"/>
        </w:rPr>
        <w:t xml:space="preserve"> was defined</w:t>
      </w:r>
      <w:r w:rsidR="00DC4B5A">
        <w:rPr>
          <w:rFonts w:ascii="Times New Roman" w:hAnsi="Times New Roman"/>
        </w:rPr>
        <w:t xml:space="preserve"> </w:t>
      </w:r>
      <w:r w:rsidR="00330A61">
        <w:rPr>
          <w:rFonts w:ascii="Times New Roman" w:hAnsi="Times New Roman"/>
        </w:rPr>
        <w:t xml:space="preserve">as the index date. We </w:t>
      </w:r>
      <w:r w:rsidRPr="00395221">
        <w:rPr>
          <w:rFonts w:ascii="Times New Roman" w:hAnsi="Times New Roman"/>
        </w:rPr>
        <w:t xml:space="preserve">required </w:t>
      </w:r>
      <w:r w:rsidR="0007528C">
        <w:rPr>
          <w:rFonts w:ascii="Times New Roman" w:hAnsi="Times New Roman"/>
        </w:rPr>
        <w:t xml:space="preserve">at least 12 and 2 months </w:t>
      </w:r>
      <w:r w:rsidR="00330A61">
        <w:rPr>
          <w:rFonts w:ascii="Times New Roman" w:hAnsi="Times New Roman"/>
        </w:rPr>
        <w:t xml:space="preserve">for MTX, and </w:t>
      </w:r>
      <w:r w:rsidR="0007528C">
        <w:rPr>
          <w:rFonts w:ascii="Times New Roman" w:hAnsi="Times New Roman"/>
        </w:rPr>
        <w:t>12 and 3 months</w:t>
      </w:r>
      <w:r w:rsidR="00DC4B5A">
        <w:rPr>
          <w:rFonts w:ascii="Times New Roman" w:hAnsi="Times New Roman"/>
        </w:rPr>
        <w:t xml:space="preserve"> for biologics/</w:t>
      </w:r>
      <w:proofErr w:type="spellStart"/>
      <w:r w:rsidR="00DC4B5A">
        <w:rPr>
          <w:rFonts w:ascii="Times New Roman" w:hAnsi="Times New Roman"/>
        </w:rPr>
        <w:t>tofacitinib</w:t>
      </w:r>
      <w:proofErr w:type="spellEnd"/>
      <w:r w:rsidR="0007528C">
        <w:rPr>
          <w:rFonts w:ascii="Times New Roman" w:hAnsi="Times New Roman"/>
        </w:rPr>
        <w:t xml:space="preserve"> of</w:t>
      </w:r>
      <w:r w:rsidRPr="00395221">
        <w:rPr>
          <w:rFonts w:ascii="Times New Roman" w:hAnsi="Times New Roman"/>
        </w:rPr>
        <w:t xml:space="preserve"> </w:t>
      </w:r>
      <w:r w:rsidR="0007528C">
        <w:rPr>
          <w:rFonts w:ascii="Times New Roman" w:hAnsi="Times New Roman"/>
        </w:rPr>
        <w:t xml:space="preserve">continuous (a gap &lt;=7 days </w:t>
      </w:r>
      <w:r w:rsidR="00EB620F">
        <w:rPr>
          <w:rFonts w:ascii="Times New Roman" w:hAnsi="Times New Roman"/>
        </w:rPr>
        <w:t>was allowed</w:t>
      </w:r>
      <w:r w:rsidR="0007528C">
        <w:rPr>
          <w:rFonts w:ascii="Times New Roman" w:hAnsi="Times New Roman"/>
        </w:rPr>
        <w:t>)</w:t>
      </w:r>
      <w:r w:rsidRPr="00395221">
        <w:rPr>
          <w:rFonts w:ascii="Times New Roman" w:hAnsi="Times New Roman"/>
        </w:rPr>
        <w:t xml:space="preserve"> </w:t>
      </w:r>
      <w:r>
        <w:rPr>
          <w:rFonts w:ascii="Times New Roman" w:hAnsi="Times New Roman"/>
        </w:rPr>
        <w:t xml:space="preserve">medical and pharmacy insurance before and after index. </w:t>
      </w:r>
      <w:r w:rsidR="00DE28CF">
        <w:rPr>
          <w:rFonts w:ascii="Times New Roman" w:hAnsi="Times New Roman"/>
        </w:rPr>
        <w:t>W</w:t>
      </w:r>
      <w:r w:rsidR="00DE28CF" w:rsidRPr="00395221">
        <w:rPr>
          <w:rFonts w:ascii="Times New Roman" w:hAnsi="Times New Roman"/>
        </w:rPr>
        <w:t>e excl</w:t>
      </w:r>
      <w:r w:rsidR="00DE28CF">
        <w:rPr>
          <w:rFonts w:ascii="Times New Roman" w:hAnsi="Times New Roman"/>
        </w:rPr>
        <w:t>ud</w:t>
      </w:r>
      <w:r w:rsidR="00330A61">
        <w:rPr>
          <w:rFonts w:ascii="Times New Roman" w:hAnsi="Times New Roman"/>
        </w:rPr>
        <w:t xml:space="preserve">ed patients with any MTX fills or </w:t>
      </w:r>
      <w:r w:rsidR="00DE28CF">
        <w:rPr>
          <w:rFonts w:ascii="Times New Roman" w:hAnsi="Times New Roman"/>
        </w:rPr>
        <w:t>biologic</w:t>
      </w:r>
      <w:r w:rsidR="00DE28CF" w:rsidRPr="00395221">
        <w:rPr>
          <w:rFonts w:ascii="Times New Roman" w:hAnsi="Times New Roman"/>
        </w:rPr>
        <w:t>/</w:t>
      </w:r>
      <w:proofErr w:type="spellStart"/>
      <w:r w:rsidR="00DE28CF" w:rsidRPr="00395221">
        <w:rPr>
          <w:rFonts w:ascii="Times New Roman" w:hAnsi="Times New Roman"/>
        </w:rPr>
        <w:t>tofa</w:t>
      </w:r>
      <w:r w:rsidR="00DE28CF">
        <w:rPr>
          <w:rFonts w:ascii="Times New Roman" w:hAnsi="Times New Roman"/>
        </w:rPr>
        <w:t>cifinib</w:t>
      </w:r>
      <w:proofErr w:type="spellEnd"/>
      <w:r w:rsidR="00DE28CF" w:rsidRPr="00395221">
        <w:rPr>
          <w:rFonts w:ascii="Times New Roman" w:hAnsi="Times New Roman"/>
        </w:rPr>
        <w:t xml:space="preserve"> fills or administration </w:t>
      </w:r>
      <w:r w:rsidR="00330A61">
        <w:rPr>
          <w:rFonts w:ascii="Times New Roman" w:hAnsi="Times New Roman"/>
        </w:rPr>
        <w:t xml:space="preserve">in the MTX cohort, and </w:t>
      </w:r>
      <w:r w:rsidR="00330A61">
        <w:rPr>
          <w:rFonts w:ascii="Times New Roman" w:hAnsi="Times New Roman"/>
        </w:rPr>
        <w:t>biologic</w:t>
      </w:r>
      <w:r w:rsidR="00330A61" w:rsidRPr="00395221">
        <w:rPr>
          <w:rFonts w:ascii="Times New Roman" w:hAnsi="Times New Roman"/>
        </w:rPr>
        <w:t>/</w:t>
      </w:r>
      <w:proofErr w:type="spellStart"/>
      <w:r w:rsidR="00330A61" w:rsidRPr="00395221">
        <w:rPr>
          <w:rFonts w:ascii="Times New Roman" w:hAnsi="Times New Roman"/>
        </w:rPr>
        <w:t>tofa</w:t>
      </w:r>
      <w:r w:rsidR="00330A61">
        <w:rPr>
          <w:rFonts w:ascii="Times New Roman" w:hAnsi="Times New Roman"/>
        </w:rPr>
        <w:t>cifinib</w:t>
      </w:r>
      <w:proofErr w:type="spellEnd"/>
      <w:r w:rsidR="00330A61" w:rsidRPr="00395221">
        <w:rPr>
          <w:rFonts w:ascii="Times New Roman" w:hAnsi="Times New Roman"/>
        </w:rPr>
        <w:t xml:space="preserve"> fills or administration</w:t>
      </w:r>
      <w:r w:rsidR="00330A61">
        <w:rPr>
          <w:rFonts w:ascii="Times New Roman" w:hAnsi="Times New Roman"/>
        </w:rPr>
        <w:t xml:space="preserve"> in the </w:t>
      </w:r>
      <w:r w:rsidR="00330A61">
        <w:rPr>
          <w:rFonts w:ascii="Times New Roman" w:hAnsi="Times New Roman"/>
        </w:rPr>
        <w:t>biologics/</w:t>
      </w:r>
      <w:proofErr w:type="spellStart"/>
      <w:r w:rsidR="00330A61">
        <w:rPr>
          <w:rFonts w:ascii="Times New Roman" w:hAnsi="Times New Roman"/>
        </w:rPr>
        <w:t>tofacitinib</w:t>
      </w:r>
      <w:proofErr w:type="spellEnd"/>
      <w:r w:rsidR="00330A61">
        <w:rPr>
          <w:rFonts w:ascii="Times New Roman" w:hAnsi="Times New Roman"/>
        </w:rPr>
        <w:t xml:space="preserve"> cohort </w:t>
      </w:r>
      <w:r w:rsidR="00DE28CF">
        <w:rPr>
          <w:rFonts w:ascii="Times New Roman" w:hAnsi="Times New Roman"/>
        </w:rPr>
        <w:t xml:space="preserve">observed in claims </w:t>
      </w:r>
      <w:r w:rsidR="00DE28CF" w:rsidRPr="00395221">
        <w:rPr>
          <w:rFonts w:ascii="Times New Roman" w:hAnsi="Times New Roman"/>
        </w:rPr>
        <w:t>during 12</w:t>
      </w:r>
      <w:r w:rsidR="00DE28CF">
        <w:rPr>
          <w:rFonts w:ascii="Times New Roman" w:hAnsi="Times New Roman"/>
        </w:rPr>
        <w:t xml:space="preserve">+ months before </w:t>
      </w:r>
      <w:r w:rsidR="00DE28CF" w:rsidRPr="00395221">
        <w:rPr>
          <w:rFonts w:ascii="Times New Roman" w:hAnsi="Times New Roman"/>
        </w:rPr>
        <w:t>index date</w:t>
      </w:r>
      <w:r w:rsidR="00DC4B5A">
        <w:rPr>
          <w:rFonts w:ascii="Times New Roman" w:hAnsi="Times New Roman"/>
        </w:rPr>
        <w:t xml:space="preserve"> (as long as data is available as indicated by the plus sign)</w:t>
      </w:r>
      <w:r w:rsidR="00DE28CF" w:rsidRPr="00395221">
        <w:rPr>
          <w:rFonts w:ascii="Times New Roman" w:hAnsi="Times New Roman"/>
        </w:rPr>
        <w:t xml:space="preserve">. </w:t>
      </w:r>
    </w:p>
    <w:p w14:paraId="6AD16E2D" w14:textId="77777777" w:rsidR="00DE28CF" w:rsidRDefault="00DE28CF" w:rsidP="00395221">
      <w:pPr>
        <w:rPr>
          <w:rFonts w:ascii="Times New Roman" w:hAnsi="Times New Roman"/>
        </w:rPr>
      </w:pPr>
    </w:p>
    <w:p w14:paraId="05AAC6F3" w14:textId="4155BA44" w:rsidR="00395221" w:rsidRPr="00395221" w:rsidRDefault="00395221" w:rsidP="00395221">
      <w:pPr>
        <w:rPr>
          <w:rFonts w:ascii="Times New Roman" w:hAnsi="Times New Roman"/>
        </w:rPr>
      </w:pPr>
      <w:r>
        <w:rPr>
          <w:rFonts w:ascii="Times New Roman" w:hAnsi="Times New Roman"/>
        </w:rPr>
        <w:t>W</w:t>
      </w:r>
      <w:r w:rsidRPr="00395221">
        <w:rPr>
          <w:rFonts w:ascii="Times New Roman" w:hAnsi="Times New Roman"/>
        </w:rPr>
        <w:t>e</w:t>
      </w:r>
      <w:r w:rsidR="00DE28CF">
        <w:rPr>
          <w:rFonts w:ascii="Times New Roman" w:hAnsi="Times New Roman"/>
        </w:rPr>
        <w:t xml:space="preserve"> also</w:t>
      </w:r>
      <w:r w:rsidRPr="00395221">
        <w:rPr>
          <w:rFonts w:ascii="Times New Roman" w:hAnsi="Times New Roman"/>
        </w:rPr>
        <w:t xml:space="preserve"> excluded patients with </w:t>
      </w:r>
      <w:r w:rsidR="0007528C">
        <w:rPr>
          <w:rFonts w:ascii="Times New Roman" w:hAnsi="Times New Roman"/>
        </w:rPr>
        <w:t xml:space="preserve">any </w:t>
      </w:r>
      <w:r>
        <w:rPr>
          <w:rFonts w:ascii="Times New Roman" w:hAnsi="Times New Roman"/>
        </w:rPr>
        <w:t>RA-related hospitalization</w:t>
      </w:r>
      <w:r w:rsidR="0007528C">
        <w:rPr>
          <w:rFonts w:ascii="Times New Roman" w:hAnsi="Times New Roman"/>
        </w:rPr>
        <w:t>s</w:t>
      </w:r>
      <w:r w:rsidRPr="00395221">
        <w:rPr>
          <w:rFonts w:ascii="Times New Roman" w:hAnsi="Times New Roman"/>
        </w:rPr>
        <w:t xml:space="preserve"> during</w:t>
      </w:r>
      <w:r w:rsidR="0007528C">
        <w:rPr>
          <w:rFonts w:ascii="Times New Roman" w:hAnsi="Times New Roman"/>
        </w:rPr>
        <w:t xml:space="preserve"> </w:t>
      </w:r>
      <w:r w:rsidR="00330A61">
        <w:rPr>
          <w:rFonts w:ascii="Times New Roman" w:hAnsi="Times New Roman"/>
        </w:rPr>
        <w:t>2</w:t>
      </w:r>
      <w:r w:rsidR="00DE28CF">
        <w:rPr>
          <w:rFonts w:ascii="Times New Roman" w:hAnsi="Times New Roman"/>
        </w:rPr>
        <w:t xml:space="preserve"> months</w:t>
      </w:r>
      <w:r w:rsidR="00330A61">
        <w:rPr>
          <w:rFonts w:ascii="Times New Roman" w:hAnsi="Times New Roman"/>
        </w:rPr>
        <w:t xml:space="preserve"> for MTX and 3 months for </w:t>
      </w:r>
      <w:r w:rsidR="00330A61">
        <w:rPr>
          <w:rFonts w:ascii="Times New Roman" w:hAnsi="Times New Roman"/>
        </w:rPr>
        <w:t>biologics/</w:t>
      </w:r>
      <w:proofErr w:type="spellStart"/>
      <w:r w:rsidR="00330A61">
        <w:rPr>
          <w:rFonts w:ascii="Times New Roman" w:hAnsi="Times New Roman"/>
        </w:rPr>
        <w:t>tofacitinib</w:t>
      </w:r>
      <w:proofErr w:type="spellEnd"/>
      <w:r w:rsidRPr="00395221">
        <w:rPr>
          <w:rFonts w:ascii="Times New Roman" w:hAnsi="Times New Roman"/>
        </w:rPr>
        <w:t xml:space="preserve"> </w:t>
      </w:r>
      <w:r w:rsidR="00DE28CF">
        <w:rPr>
          <w:rFonts w:ascii="Times New Roman" w:hAnsi="Times New Roman"/>
        </w:rPr>
        <w:t>after index</w:t>
      </w:r>
      <w:r>
        <w:rPr>
          <w:rFonts w:ascii="Times New Roman" w:hAnsi="Times New Roman"/>
        </w:rPr>
        <w:t xml:space="preserve"> as they may receive therapies</w:t>
      </w:r>
      <w:r w:rsidRPr="00395221">
        <w:rPr>
          <w:rFonts w:ascii="Times New Roman" w:hAnsi="Times New Roman"/>
        </w:rPr>
        <w:t xml:space="preserve"> in t</w:t>
      </w:r>
      <w:r w:rsidR="00DC4B5A">
        <w:rPr>
          <w:rFonts w:ascii="Times New Roman" w:hAnsi="Times New Roman"/>
        </w:rPr>
        <w:t>he hospital (the number of</w:t>
      </w:r>
      <w:r w:rsidR="00330A61">
        <w:rPr>
          <w:rFonts w:ascii="Times New Roman" w:hAnsi="Times New Roman"/>
        </w:rPr>
        <w:t xml:space="preserve"> such</w:t>
      </w:r>
      <w:r w:rsidR="00DC4B5A">
        <w:rPr>
          <w:rFonts w:ascii="Times New Roman" w:hAnsi="Times New Roman"/>
        </w:rPr>
        <w:t xml:space="preserve"> cares is </w:t>
      </w:r>
      <w:r w:rsidR="00330A61">
        <w:rPr>
          <w:rFonts w:ascii="Times New Roman" w:hAnsi="Times New Roman"/>
        </w:rPr>
        <w:t>quite</w:t>
      </w:r>
      <w:r w:rsidR="00DC4B5A">
        <w:rPr>
          <w:rFonts w:ascii="Times New Roman" w:hAnsi="Times New Roman"/>
        </w:rPr>
        <w:t xml:space="preserve"> small).</w:t>
      </w:r>
    </w:p>
    <w:p w14:paraId="7E24C73A" w14:textId="77777777" w:rsidR="00395221" w:rsidRDefault="00395221" w:rsidP="00395221">
      <w:pPr>
        <w:rPr>
          <w:rFonts w:ascii="Times New Roman" w:hAnsi="Times New Roman"/>
        </w:rPr>
      </w:pPr>
    </w:p>
    <w:p w14:paraId="67D795D6" w14:textId="1944A4AD" w:rsidR="00DC4B5A" w:rsidRPr="00DC4B5A" w:rsidRDefault="00DC4B5A" w:rsidP="00B1068A">
      <w:pPr>
        <w:rPr>
          <w:rFonts w:ascii="Times New Roman" w:hAnsi="Times New Roman"/>
        </w:rPr>
      </w:pPr>
      <w:r>
        <w:rPr>
          <w:rFonts w:ascii="Times New Roman" w:hAnsi="Times New Roman"/>
        </w:rPr>
        <w:t>F</w:t>
      </w:r>
      <w:r w:rsidR="00395221" w:rsidRPr="00395221">
        <w:rPr>
          <w:rFonts w:ascii="Times New Roman" w:hAnsi="Times New Roman"/>
        </w:rPr>
        <w:t>urther, we searched</w:t>
      </w:r>
      <w:r>
        <w:rPr>
          <w:rFonts w:ascii="Times New Roman" w:hAnsi="Times New Roman"/>
        </w:rPr>
        <w:t xml:space="preserve"> for the following conditions</w:t>
      </w:r>
      <w:r w:rsidR="00330A61">
        <w:rPr>
          <w:rFonts w:ascii="Times New Roman" w:hAnsi="Times New Roman"/>
        </w:rPr>
        <w:t xml:space="preserve"> in claims</w:t>
      </w:r>
      <w:r>
        <w:rPr>
          <w:rFonts w:ascii="Times New Roman" w:hAnsi="Times New Roman"/>
        </w:rPr>
        <w:t xml:space="preserve"> during</w:t>
      </w:r>
      <w:r w:rsidR="00395221" w:rsidRPr="00395221">
        <w:rPr>
          <w:rFonts w:ascii="Times New Roman" w:hAnsi="Times New Roman"/>
        </w:rPr>
        <w:t xml:space="preserve"> </w:t>
      </w:r>
      <w:r>
        <w:rPr>
          <w:rFonts w:ascii="Times New Roman" w:hAnsi="Times New Roman"/>
        </w:rPr>
        <w:t>12+ months</w:t>
      </w:r>
      <w:r w:rsidR="00395221" w:rsidRPr="00395221">
        <w:rPr>
          <w:rFonts w:ascii="Times New Roman" w:hAnsi="Times New Roman"/>
        </w:rPr>
        <w:t xml:space="preserve"> before first RA diagnosis and exclude</w:t>
      </w:r>
      <w:r>
        <w:rPr>
          <w:rFonts w:ascii="Times New Roman" w:hAnsi="Times New Roman"/>
        </w:rPr>
        <w:t xml:space="preserve">d </w:t>
      </w:r>
      <w:r w:rsidR="00390F29">
        <w:rPr>
          <w:rFonts w:ascii="Times New Roman" w:hAnsi="Times New Roman"/>
        </w:rPr>
        <w:t>patients</w:t>
      </w:r>
      <w:r w:rsidR="00B1068A">
        <w:rPr>
          <w:rFonts w:ascii="Times New Roman" w:hAnsi="Times New Roman"/>
        </w:rPr>
        <w:t xml:space="preserve"> with at least 2 diagnoses: </w:t>
      </w:r>
      <w:r w:rsidRPr="00DC4B5A">
        <w:rPr>
          <w:rFonts w:ascii="Times New Roman" w:hAnsi="Times New Roman"/>
        </w:rPr>
        <w:t>psoriasis or psoriatic ar</w:t>
      </w:r>
      <w:r>
        <w:rPr>
          <w:rFonts w:ascii="Times New Roman" w:hAnsi="Times New Roman"/>
        </w:rPr>
        <w:t xml:space="preserve">thritis, </w:t>
      </w:r>
      <w:r w:rsidRPr="00DC4B5A">
        <w:rPr>
          <w:rFonts w:ascii="Times New Roman" w:hAnsi="Times New Roman"/>
        </w:rPr>
        <w:t xml:space="preserve">inflammatory </w:t>
      </w:r>
      <w:r>
        <w:rPr>
          <w:rFonts w:ascii="Times New Roman" w:hAnsi="Times New Roman"/>
        </w:rPr>
        <w:t>bowel disease</w:t>
      </w:r>
      <w:r w:rsidRPr="00DC4B5A">
        <w:rPr>
          <w:rFonts w:ascii="Times New Roman" w:hAnsi="Times New Roman"/>
        </w:rPr>
        <w:t>,</w:t>
      </w:r>
      <w:r>
        <w:rPr>
          <w:rFonts w:ascii="Times New Roman" w:hAnsi="Times New Roman"/>
        </w:rPr>
        <w:t xml:space="preserve"> ankylosing spondylitis</w:t>
      </w:r>
      <w:r w:rsidRPr="00DC4B5A">
        <w:rPr>
          <w:rFonts w:ascii="Times New Roman" w:hAnsi="Times New Roman"/>
        </w:rPr>
        <w:t xml:space="preserve">, or </w:t>
      </w:r>
      <w:r>
        <w:rPr>
          <w:rFonts w:ascii="Times New Roman" w:hAnsi="Times New Roman"/>
        </w:rPr>
        <w:t xml:space="preserve">cancer excluding </w:t>
      </w:r>
      <w:r w:rsidRPr="00DC4B5A">
        <w:rPr>
          <w:rFonts w:ascii="Times New Roman" w:hAnsi="Times New Roman"/>
        </w:rPr>
        <w:t>n</w:t>
      </w:r>
      <w:r>
        <w:rPr>
          <w:rFonts w:ascii="Times New Roman" w:hAnsi="Times New Roman"/>
        </w:rPr>
        <w:t>on-melanoma skin cancer.</w:t>
      </w:r>
    </w:p>
    <w:p w14:paraId="06AF07AB" w14:textId="77777777" w:rsidR="00B925D3" w:rsidRPr="00395221" w:rsidRDefault="00B925D3" w:rsidP="00395221">
      <w:pPr>
        <w:rPr>
          <w:rFonts w:ascii="Times New Roman" w:hAnsi="Times New Roman"/>
        </w:rPr>
      </w:pPr>
    </w:p>
    <w:p w14:paraId="40334D63" w14:textId="01CD42D0" w:rsidR="00395221" w:rsidRPr="00B925D3" w:rsidRDefault="00390F29" w:rsidP="00395221">
      <w:pPr>
        <w:rPr>
          <w:rFonts w:ascii="Times New Roman" w:hAnsi="Times New Roman"/>
          <w:b/>
        </w:rPr>
      </w:pPr>
      <w:r w:rsidRPr="00B925D3">
        <w:rPr>
          <w:rFonts w:ascii="Times New Roman" w:hAnsi="Times New Roman"/>
          <w:b/>
        </w:rPr>
        <w:t>Primary adherence</w:t>
      </w:r>
      <w:r w:rsidR="00B925D3">
        <w:rPr>
          <w:rFonts w:ascii="Times New Roman" w:hAnsi="Times New Roman"/>
          <w:b/>
        </w:rPr>
        <w:t>:</w:t>
      </w:r>
    </w:p>
    <w:p w14:paraId="15096312" w14:textId="77777777" w:rsidR="00A848D9" w:rsidRPr="00A75B80" w:rsidRDefault="00A848D9" w:rsidP="00A848D9">
      <w:pPr>
        <w:rPr>
          <w:rFonts w:ascii="Times New Roman" w:hAnsi="Times New Roman"/>
        </w:rPr>
      </w:pPr>
    </w:p>
    <w:p w14:paraId="242A77D7" w14:textId="77777777" w:rsidR="00A848D9" w:rsidRPr="00390F29" w:rsidRDefault="00A848D9" w:rsidP="00A848D9">
      <w:pPr>
        <w:rPr>
          <w:rFonts w:ascii="Times New Roman" w:hAnsi="Times New Roman"/>
          <w:u w:val="single"/>
        </w:rPr>
      </w:pPr>
      <w:r>
        <w:rPr>
          <w:rFonts w:ascii="Times New Roman" w:hAnsi="Times New Roman"/>
          <w:u w:val="single"/>
        </w:rPr>
        <w:t>Methotrexate</w:t>
      </w:r>
    </w:p>
    <w:p w14:paraId="0C4445D4" w14:textId="77777777" w:rsidR="00A848D9" w:rsidRDefault="00A848D9" w:rsidP="00A848D9">
      <w:pPr>
        <w:rPr>
          <w:rFonts w:ascii="Times New Roman" w:hAnsi="Times New Roman"/>
        </w:rPr>
      </w:pPr>
    </w:p>
    <w:p w14:paraId="32379DDF" w14:textId="796E366B" w:rsidR="00A848D9" w:rsidRPr="00390F29" w:rsidRDefault="00A848D9" w:rsidP="00A848D9">
      <w:pPr>
        <w:rPr>
          <w:rFonts w:ascii="Times New Roman" w:hAnsi="Times New Roman"/>
        </w:rPr>
      </w:pPr>
      <w:r w:rsidRPr="00390F29">
        <w:rPr>
          <w:rFonts w:ascii="Times New Roman" w:hAnsi="Times New Roman"/>
        </w:rPr>
        <w:t># 47,146 patients wit</w:t>
      </w:r>
      <w:r>
        <w:rPr>
          <w:rFonts w:ascii="Times New Roman" w:hAnsi="Times New Roman"/>
        </w:rPr>
        <w:t>h at least 2 RA inpatient/outpa</w:t>
      </w:r>
      <w:r w:rsidRPr="00390F29">
        <w:rPr>
          <w:rFonts w:ascii="Times New Roman" w:hAnsi="Times New Roman"/>
        </w:rPr>
        <w:t>t</w:t>
      </w:r>
      <w:r>
        <w:rPr>
          <w:rFonts w:ascii="Times New Roman" w:hAnsi="Times New Roman"/>
        </w:rPr>
        <w:t>i</w:t>
      </w:r>
      <w:r w:rsidRPr="00390F29">
        <w:rPr>
          <w:rFonts w:ascii="Times New Roman" w:hAnsi="Times New Roman"/>
        </w:rPr>
        <w:t>ent diagnoses 7 days apart within the 12 months of the first RA diagnosis in</w:t>
      </w:r>
      <w:r w:rsidR="00B1068A">
        <w:rPr>
          <w:rFonts w:ascii="Times New Roman" w:hAnsi="Times New Roman"/>
        </w:rPr>
        <w:t xml:space="preserve"> combined</w:t>
      </w:r>
      <w:r w:rsidRPr="00390F29">
        <w:rPr>
          <w:rFonts w:ascii="Times New Roman" w:hAnsi="Times New Roman"/>
        </w:rPr>
        <w:t xml:space="preserve"> outpatient and inpatient claims. They were required to be &gt;=18 years old at the first RA diagnosis.</w:t>
      </w:r>
    </w:p>
    <w:p w14:paraId="1AB05545" w14:textId="77777777" w:rsidR="00A848D9" w:rsidRPr="00390F29" w:rsidRDefault="00A848D9" w:rsidP="00A848D9">
      <w:pPr>
        <w:rPr>
          <w:rFonts w:ascii="Times New Roman" w:hAnsi="Times New Roman"/>
        </w:rPr>
      </w:pPr>
      <w:r w:rsidRPr="00390F29">
        <w:rPr>
          <w:rFonts w:ascii="Times New Roman" w:hAnsi="Times New Roman"/>
        </w:rPr>
        <w:t xml:space="preserve"># 7,726 patients with at least one </w:t>
      </w:r>
      <w:r>
        <w:rPr>
          <w:rFonts w:ascii="Times New Roman" w:hAnsi="Times New Roman"/>
        </w:rPr>
        <w:t>MTX</w:t>
      </w:r>
      <w:r w:rsidRPr="00390F29">
        <w:rPr>
          <w:rFonts w:ascii="Times New Roman" w:hAnsi="Times New Roman"/>
        </w:rPr>
        <w:t xml:space="preserve"> prescription from </w:t>
      </w:r>
      <w:r>
        <w:rPr>
          <w:rFonts w:ascii="Times New Roman" w:hAnsi="Times New Roman"/>
        </w:rPr>
        <w:t>EHR</w:t>
      </w:r>
      <w:r w:rsidRPr="00390F29">
        <w:rPr>
          <w:rFonts w:ascii="Times New Roman" w:hAnsi="Times New Roman"/>
        </w:rPr>
        <w:t xml:space="preserve"> at or after the first RA diagnosis date. The date of the first </w:t>
      </w:r>
      <w:r>
        <w:rPr>
          <w:rFonts w:ascii="Times New Roman" w:hAnsi="Times New Roman"/>
        </w:rPr>
        <w:t>MTX</w:t>
      </w:r>
      <w:r w:rsidRPr="00390F29">
        <w:rPr>
          <w:rFonts w:ascii="Times New Roman" w:hAnsi="Times New Roman"/>
        </w:rPr>
        <w:t xml:space="preserve"> prescription is defined as MTX prescription index date.</w:t>
      </w:r>
    </w:p>
    <w:p w14:paraId="79C40910" w14:textId="429D7E21" w:rsidR="00A848D9" w:rsidRPr="00390F29" w:rsidRDefault="00A848D9" w:rsidP="00A848D9">
      <w:pPr>
        <w:rPr>
          <w:rFonts w:ascii="Times New Roman" w:hAnsi="Times New Roman"/>
        </w:rPr>
      </w:pPr>
      <w:r w:rsidRPr="00390F29">
        <w:rPr>
          <w:rFonts w:ascii="Times New Roman" w:hAnsi="Times New Roman"/>
        </w:rPr>
        <w:t># 2,252 patients have &gt;=1</w:t>
      </w:r>
      <w:r>
        <w:rPr>
          <w:rFonts w:ascii="Times New Roman" w:hAnsi="Times New Roman"/>
        </w:rPr>
        <w:t>2 and &gt;=2</w:t>
      </w:r>
      <w:r w:rsidRPr="00390F29">
        <w:rPr>
          <w:rFonts w:ascii="Times New Roman" w:hAnsi="Times New Roman"/>
        </w:rPr>
        <w:t xml:space="preserve"> months of continuous (&lt;=7 days</w:t>
      </w:r>
      <w:r w:rsidR="00B1068A">
        <w:rPr>
          <w:rFonts w:ascii="Times New Roman" w:hAnsi="Times New Roman"/>
        </w:rPr>
        <w:t xml:space="preserve"> of insurance</w:t>
      </w:r>
      <w:r w:rsidRPr="00390F29">
        <w:rPr>
          <w:rFonts w:ascii="Times New Roman" w:hAnsi="Times New Roman"/>
        </w:rPr>
        <w:t xml:space="preserve"> gap allowed) medical and pharmacy benefits coverage before and after index date.</w:t>
      </w:r>
    </w:p>
    <w:p w14:paraId="709C9236" w14:textId="68BF4769" w:rsidR="00A848D9" w:rsidRPr="00390F29" w:rsidRDefault="00A848D9" w:rsidP="00A848D9">
      <w:pPr>
        <w:rPr>
          <w:rFonts w:ascii="Times New Roman" w:hAnsi="Times New Roman"/>
        </w:rPr>
      </w:pPr>
      <w:r w:rsidRPr="00390F29">
        <w:rPr>
          <w:rFonts w:ascii="Times New Roman" w:hAnsi="Times New Roman"/>
        </w:rPr>
        <w:t xml:space="preserve"># </w:t>
      </w:r>
      <w:r>
        <w:rPr>
          <w:rFonts w:ascii="Times New Roman" w:hAnsi="Times New Roman"/>
        </w:rPr>
        <w:t>918</w:t>
      </w:r>
      <w:r w:rsidRPr="00390F29">
        <w:rPr>
          <w:rFonts w:ascii="Times New Roman" w:hAnsi="Times New Roman"/>
        </w:rPr>
        <w:t xml:space="preserve"> patients after excluding patients with </w:t>
      </w:r>
      <w:r>
        <w:rPr>
          <w:rFonts w:ascii="Times New Roman" w:hAnsi="Times New Roman"/>
        </w:rPr>
        <w:t>MTX</w:t>
      </w:r>
      <w:r w:rsidRPr="00390F29">
        <w:rPr>
          <w:rFonts w:ascii="Times New Roman" w:hAnsi="Times New Roman"/>
        </w:rPr>
        <w:t xml:space="preserve"> fills in claims </w:t>
      </w:r>
      <w:r w:rsidR="00B1068A">
        <w:rPr>
          <w:rFonts w:ascii="Times New Roman" w:hAnsi="Times New Roman"/>
        </w:rPr>
        <w:t>during 12+ months</w:t>
      </w:r>
      <w:r w:rsidR="00B1068A" w:rsidRPr="00390F29">
        <w:rPr>
          <w:rFonts w:ascii="Times New Roman" w:hAnsi="Times New Roman"/>
        </w:rPr>
        <w:t xml:space="preserve"> </w:t>
      </w:r>
      <w:r w:rsidRPr="00390F29">
        <w:rPr>
          <w:rFonts w:ascii="Times New Roman" w:hAnsi="Times New Roman"/>
        </w:rPr>
        <w:t xml:space="preserve">before index </w:t>
      </w:r>
    </w:p>
    <w:p w14:paraId="41A214EF" w14:textId="26AD5746" w:rsidR="00A848D9" w:rsidRPr="00390F29" w:rsidRDefault="00A848D9" w:rsidP="00A848D9">
      <w:pPr>
        <w:rPr>
          <w:rFonts w:ascii="Times New Roman" w:hAnsi="Times New Roman"/>
        </w:rPr>
      </w:pPr>
      <w:r w:rsidRPr="00390F29">
        <w:rPr>
          <w:rFonts w:ascii="Times New Roman" w:hAnsi="Times New Roman"/>
        </w:rPr>
        <w:t xml:space="preserve"># </w:t>
      </w:r>
      <w:r>
        <w:rPr>
          <w:rFonts w:ascii="Times New Roman" w:hAnsi="Times New Roman"/>
        </w:rPr>
        <w:t>807</w:t>
      </w:r>
      <w:r w:rsidRPr="00390F29">
        <w:rPr>
          <w:rFonts w:ascii="Times New Roman" w:hAnsi="Times New Roman"/>
        </w:rPr>
        <w:t xml:space="preserve"> patients after excluding patients with </w:t>
      </w:r>
      <w:proofErr w:type="spellStart"/>
      <w:r>
        <w:rPr>
          <w:rFonts w:ascii="Times New Roman" w:hAnsi="Times New Roman"/>
        </w:rPr>
        <w:t>BnT</w:t>
      </w:r>
      <w:proofErr w:type="spellEnd"/>
      <w:r w:rsidRPr="00390F29">
        <w:rPr>
          <w:rFonts w:ascii="Times New Roman" w:hAnsi="Times New Roman"/>
        </w:rPr>
        <w:t xml:space="preserve"> fills/</w:t>
      </w:r>
      <w:r>
        <w:rPr>
          <w:rFonts w:ascii="Times New Roman" w:hAnsi="Times New Roman"/>
        </w:rPr>
        <w:t>administration during 12+ months</w:t>
      </w:r>
      <w:r w:rsidRPr="00390F29">
        <w:rPr>
          <w:rFonts w:ascii="Times New Roman" w:hAnsi="Times New Roman"/>
        </w:rPr>
        <w:t xml:space="preserve"> before index or </w:t>
      </w:r>
      <w:r w:rsidR="00B1068A">
        <w:rPr>
          <w:rFonts w:ascii="Times New Roman" w:hAnsi="Times New Roman"/>
        </w:rPr>
        <w:t xml:space="preserve">a RA-related </w:t>
      </w:r>
      <w:r w:rsidRPr="00390F29">
        <w:rPr>
          <w:rFonts w:ascii="Times New Roman" w:hAnsi="Times New Roman"/>
        </w:rPr>
        <w:t xml:space="preserve">hospitalization within 2 months after </w:t>
      </w:r>
      <w:r>
        <w:rPr>
          <w:rFonts w:ascii="Times New Roman" w:hAnsi="Times New Roman"/>
        </w:rPr>
        <w:t>index</w:t>
      </w:r>
    </w:p>
    <w:p w14:paraId="0209DD49" w14:textId="77777777" w:rsidR="00A848D9" w:rsidRPr="00390F29" w:rsidRDefault="00A848D9" w:rsidP="00A848D9">
      <w:pPr>
        <w:rPr>
          <w:rFonts w:ascii="Times New Roman" w:hAnsi="Times New Roman"/>
        </w:rPr>
      </w:pPr>
      <w:r w:rsidRPr="00390F29">
        <w:rPr>
          <w:rFonts w:ascii="Times New Roman" w:hAnsi="Times New Roman"/>
        </w:rPr>
        <w:t xml:space="preserve"># </w:t>
      </w:r>
      <w:r>
        <w:rPr>
          <w:rFonts w:ascii="Times New Roman" w:hAnsi="Times New Roman"/>
        </w:rPr>
        <w:t>730</w:t>
      </w:r>
      <w:r w:rsidRPr="00390F29">
        <w:rPr>
          <w:rFonts w:ascii="Times New Roman" w:hAnsi="Times New Roman"/>
        </w:rPr>
        <w:t xml:space="preserve"> patients after excluding prior diagnoses of </w:t>
      </w:r>
      <w:r w:rsidRPr="00DC4B5A">
        <w:rPr>
          <w:rFonts w:ascii="Times New Roman" w:hAnsi="Times New Roman"/>
        </w:rPr>
        <w:t>psoriasis or psoriatic ar</w:t>
      </w:r>
      <w:r>
        <w:rPr>
          <w:rFonts w:ascii="Times New Roman" w:hAnsi="Times New Roman"/>
        </w:rPr>
        <w:t xml:space="preserve">thritis, </w:t>
      </w:r>
      <w:r w:rsidRPr="00DC4B5A">
        <w:rPr>
          <w:rFonts w:ascii="Times New Roman" w:hAnsi="Times New Roman"/>
        </w:rPr>
        <w:t xml:space="preserve">inflammatory </w:t>
      </w:r>
      <w:r>
        <w:rPr>
          <w:rFonts w:ascii="Times New Roman" w:hAnsi="Times New Roman"/>
        </w:rPr>
        <w:t>bowel disease</w:t>
      </w:r>
      <w:r w:rsidRPr="00DC4B5A">
        <w:rPr>
          <w:rFonts w:ascii="Times New Roman" w:hAnsi="Times New Roman"/>
        </w:rPr>
        <w:t>,</w:t>
      </w:r>
      <w:r>
        <w:rPr>
          <w:rFonts w:ascii="Times New Roman" w:hAnsi="Times New Roman"/>
        </w:rPr>
        <w:t xml:space="preserve"> ankylosing spondylitis</w:t>
      </w:r>
      <w:r w:rsidRPr="00DC4B5A">
        <w:rPr>
          <w:rFonts w:ascii="Times New Roman" w:hAnsi="Times New Roman"/>
        </w:rPr>
        <w:t xml:space="preserve">, or </w:t>
      </w:r>
      <w:r>
        <w:rPr>
          <w:rFonts w:ascii="Times New Roman" w:hAnsi="Times New Roman"/>
        </w:rPr>
        <w:t xml:space="preserve">cancer excluding </w:t>
      </w:r>
      <w:r w:rsidRPr="00DC4B5A">
        <w:rPr>
          <w:rFonts w:ascii="Times New Roman" w:hAnsi="Times New Roman"/>
        </w:rPr>
        <w:t>n</w:t>
      </w:r>
      <w:r>
        <w:rPr>
          <w:rFonts w:ascii="Times New Roman" w:hAnsi="Times New Roman"/>
        </w:rPr>
        <w:t>on-melanoma skin cancer.</w:t>
      </w:r>
    </w:p>
    <w:p w14:paraId="4F7ADF6F" w14:textId="77777777" w:rsidR="00A848D9" w:rsidRPr="00390F29" w:rsidRDefault="00A848D9" w:rsidP="00A848D9">
      <w:pPr>
        <w:rPr>
          <w:rFonts w:ascii="Times New Roman" w:hAnsi="Times New Roman"/>
        </w:rPr>
      </w:pPr>
    </w:p>
    <w:p w14:paraId="37DA7BB8" w14:textId="3B7676D0" w:rsidR="00A848D9" w:rsidRDefault="00A848D9" w:rsidP="00A848D9">
      <w:pPr>
        <w:rPr>
          <w:rFonts w:ascii="Times New Roman" w:hAnsi="Times New Roman"/>
        </w:rPr>
      </w:pPr>
      <w:r w:rsidRPr="00390F29">
        <w:rPr>
          <w:rFonts w:ascii="Times New Roman" w:hAnsi="Times New Roman"/>
        </w:rPr>
        <w:lastRenderedPageBreak/>
        <w:t xml:space="preserve"># </w:t>
      </w:r>
      <w:r w:rsidR="00B1068A">
        <w:rPr>
          <w:rFonts w:ascii="Times New Roman" w:hAnsi="Times New Roman"/>
        </w:rPr>
        <w:t xml:space="preserve">MTX </w:t>
      </w:r>
      <w:r>
        <w:rPr>
          <w:rFonts w:ascii="Times New Roman" w:hAnsi="Times New Roman"/>
        </w:rPr>
        <w:t>Filled beyond 2 months post index: 36</w:t>
      </w:r>
    </w:p>
    <w:p w14:paraId="53C91CE1" w14:textId="6D0B7FE9" w:rsidR="00A848D9" w:rsidRDefault="00B1068A" w:rsidP="00A848D9">
      <w:pPr>
        <w:rPr>
          <w:rFonts w:ascii="Times New Roman" w:hAnsi="Times New Roman"/>
        </w:rPr>
      </w:pPr>
      <w:r>
        <w:rPr>
          <w:rFonts w:ascii="Times New Roman" w:hAnsi="Times New Roman"/>
        </w:rPr>
        <w:t xml:space="preserve"># </w:t>
      </w:r>
      <w:r>
        <w:rPr>
          <w:rFonts w:ascii="Times New Roman" w:hAnsi="Times New Roman"/>
        </w:rPr>
        <w:t>MTX Filled</w:t>
      </w:r>
      <w:r w:rsidR="00A848D9">
        <w:rPr>
          <w:rFonts w:ascii="Times New Roman" w:hAnsi="Times New Roman"/>
        </w:rPr>
        <w:t xml:space="preserve"> within 2 months post index: 461</w:t>
      </w:r>
    </w:p>
    <w:p w14:paraId="6565D82D" w14:textId="66E055A9" w:rsidR="00A848D9" w:rsidRDefault="00A848D9" w:rsidP="00A848D9">
      <w:pPr>
        <w:rPr>
          <w:rFonts w:ascii="Times New Roman" w:hAnsi="Times New Roman"/>
        </w:rPr>
      </w:pPr>
      <w:r>
        <w:rPr>
          <w:rFonts w:ascii="Times New Roman" w:hAnsi="Times New Roman"/>
        </w:rPr>
        <w:t xml:space="preserve"># </w:t>
      </w:r>
      <w:r w:rsidR="00B1068A">
        <w:rPr>
          <w:rFonts w:ascii="Times New Roman" w:hAnsi="Times New Roman"/>
        </w:rPr>
        <w:t xml:space="preserve">No filling </w:t>
      </w:r>
      <w:r>
        <w:rPr>
          <w:rFonts w:ascii="Times New Roman" w:hAnsi="Times New Roman"/>
        </w:rPr>
        <w:t>recorded during 2+ months post index: 233</w:t>
      </w:r>
    </w:p>
    <w:p w14:paraId="0F231A88" w14:textId="77777777" w:rsidR="00A848D9" w:rsidRDefault="00A848D9" w:rsidP="00A848D9">
      <w:pPr>
        <w:rPr>
          <w:rFonts w:ascii="Times New Roman" w:hAnsi="Times New Roman"/>
        </w:rPr>
      </w:pPr>
      <w:r>
        <w:rPr>
          <w:rFonts w:ascii="Times New Roman" w:hAnsi="Times New Roman"/>
        </w:rPr>
        <w:t># Primary non-adherence of MTX within 2 months of prescription: 1-461/730=36.8%</w:t>
      </w:r>
    </w:p>
    <w:p w14:paraId="0B2C92A2" w14:textId="77777777" w:rsidR="00395221" w:rsidRPr="00395221" w:rsidRDefault="00395221" w:rsidP="00395221">
      <w:pPr>
        <w:rPr>
          <w:rFonts w:ascii="Times New Roman" w:hAnsi="Times New Roman"/>
        </w:rPr>
      </w:pPr>
    </w:p>
    <w:p w14:paraId="5519C66B" w14:textId="040332D4" w:rsidR="00390F29" w:rsidRPr="00B925D3" w:rsidRDefault="00B925D3" w:rsidP="00390F29">
      <w:pPr>
        <w:rPr>
          <w:rFonts w:ascii="Times New Roman" w:hAnsi="Times New Roman"/>
          <w:u w:val="single"/>
        </w:rPr>
      </w:pPr>
      <w:r w:rsidRPr="00B925D3">
        <w:rPr>
          <w:rFonts w:ascii="Times New Roman" w:hAnsi="Times New Roman"/>
          <w:u w:val="single"/>
        </w:rPr>
        <w:t>B</w:t>
      </w:r>
      <w:r w:rsidR="00AE3D63">
        <w:rPr>
          <w:rFonts w:ascii="Times New Roman" w:hAnsi="Times New Roman"/>
          <w:u w:val="single"/>
        </w:rPr>
        <w:t>iologi</w:t>
      </w:r>
      <w:r w:rsidR="00390F29" w:rsidRPr="00B925D3">
        <w:rPr>
          <w:rFonts w:ascii="Times New Roman" w:hAnsi="Times New Roman"/>
          <w:u w:val="single"/>
        </w:rPr>
        <w:t>cs/</w:t>
      </w:r>
      <w:proofErr w:type="spellStart"/>
      <w:r w:rsidR="00390F29" w:rsidRPr="00B925D3">
        <w:rPr>
          <w:rFonts w:ascii="Times New Roman" w:hAnsi="Times New Roman"/>
          <w:u w:val="single"/>
        </w:rPr>
        <w:t>tofacitinib</w:t>
      </w:r>
      <w:proofErr w:type="spellEnd"/>
    </w:p>
    <w:p w14:paraId="7E8FFBB6" w14:textId="77777777" w:rsidR="00B925D3" w:rsidRPr="00B925D3" w:rsidRDefault="00B925D3" w:rsidP="00390F29">
      <w:pPr>
        <w:rPr>
          <w:rFonts w:ascii="Times New Roman" w:hAnsi="Times New Roman"/>
        </w:rPr>
      </w:pPr>
    </w:p>
    <w:p w14:paraId="2AEB0CE7" w14:textId="77777777" w:rsidR="00B1068A" w:rsidRPr="00390F29" w:rsidRDefault="00B1068A" w:rsidP="00B1068A">
      <w:pPr>
        <w:rPr>
          <w:rFonts w:ascii="Times New Roman" w:hAnsi="Times New Roman"/>
        </w:rPr>
      </w:pPr>
      <w:r w:rsidRPr="00390F29">
        <w:rPr>
          <w:rFonts w:ascii="Times New Roman" w:hAnsi="Times New Roman"/>
        </w:rPr>
        <w:t># 47,146 patients wit</w:t>
      </w:r>
      <w:r>
        <w:rPr>
          <w:rFonts w:ascii="Times New Roman" w:hAnsi="Times New Roman"/>
        </w:rPr>
        <w:t>h at least 2 RA inpatient/outpa</w:t>
      </w:r>
      <w:r w:rsidRPr="00390F29">
        <w:rPr>
          <w:rFonts w:ascii="Times New Roman" w:hAnsi="Times New Roman"/>
        </w:rPr>
        <w:t>t</w:t>
      </w:r>
      <w:r>
        <w:rPr>
          <w:rFonts w:ascii="Times New Roman" w:hAnsi="Times New Roman"/>
        </w:rPr>
        <w:t>i</w:t>
      </w:r>
      <w:r w:rsidRPr="00390F29">
        <w:rPr>
          <w:rFonts w:ascii="Times New Roman" w:hAnsi="Times New Roman"/>
        </w:rPr>
        <w:t>ent diagnoses 7 days apart within the 12 months of the first RA diagnosis in</w:t>
      </w:r>
      <w:r>
        <w:rPr>
          <w:rFonts w:ascii="Times New Roman" w:hAnsi="Times New Roman"/>
        </w:rPr>
        <w:t xml:space="preserve"> combined</w:t>
      </w:r>
      <w:r w:rsidRPr="00390F29">
        <w:rPr>
          <w:rFonts w:ascii="Times New Roman" w:hAnsi="Times New Roman"/>
        </w:rPr>
        <w:t xml:space="preserve"> outpatient and inpatient claims. They were required to be &gt;=18 years old at the first RA diagnosis.</w:t>
      </w:r>
    </w:p>
    <w:p w14:paraId="51042322" w14:textId="7327F577" w:rsidR="00390F29" w:rsidRPr="00390F29" w:rsidRDefault="00390F29" w:rsidP="00390F29">
      <w:pPr>
        <w:rPr>
          <w:rFonts w:ascii="Times New Roman" w:hAnsi="Times New Roman"/>
        </w:rPr>
      </w:pPr>
      <w:r w:rsidRPr="00390F29">
        <w:rPr>
          <w:rFonts w:ascii="Times New Roman" w:hAnsi="Times New Roman"/>
        </w:rPr>
        <w:t xml:space="preserve"># 4,921 patients with at least one </w:t>
      </w:r>
      <w:r w:rsidR="00B1068A">
        <w:rPr>
          <w:rFonts w:ascii="Times New Roman" w:hAnsi="Times New Roman"/>
        </w:rPr>
        <w:t xml:space="preserve">B/T </w:t>
      </w:r>
      <w:r w:rsidRPr="00390F29">
        <w:rPr>
          <w:rFonts w:ascii="Times New Roman" w:hAnsi="Times New Roman"/>
        </w:rPr>
        <w:t xml:space="preserve">prescription from </w:t>
      </w:r>
      <w:r>
        <w:rPr>
          <w:rFonts w:ascii="Times New Roman" w:hAnsi="Times New Roman"/>
        </w:rPr>
        <w:t>EHR</w:t>
      </w:r>
      <w:r w:rsidRPr="00390F29">
        <w:rPr>
          <w:rFonts w:ascii="Times New Roman" w:hAnsi="Times New Roman"/>
        </w:rPr>
        <w:t xml:space="preserve"> at or after the first RA diagnosis date. The date of the first </w:t>
      </w:r>
      <w:r w:rsidR="00B1068A">
        <w:rPr>
          <w:rFonts w:ascii="Times New Roman" w:hAnsi="Times New Roman"/>
        </w:rPr>
        <w:t xml:space="preserve">B/T </w:t>
      </w:r>
      <w:r w:rsidRPr="00390F29">
        <w:rPr>
          <w:rFonts w:ascii="Times New Roman" w:hAnsi="Times New Roman"/>
        </w:rPr>
        <w:t xml:space="preserve">prescription is defined as </w:t>
      </w:r>
      <w:r w:rsidR="00B1068A">
        <w:rPr>
          <w:rFonts w:ascii="Times New Roman" w:hAnsi="Times New Roman"/>
        </w:rPr>
        <w:t xml:space="preserve">B/T </w:t>
      </w:r>
      <w:r w:rsidRPr="00390F29">
        <w:rPr>
          <w:rFonts w:ascii="Times New Roman" w:hAnsi="Times New Roman"/>
        </w:rPr>
        <w:t>prescription index date.</w:t>
      </w:r>
      <w:r w:rsidR="00B1068A">
        <w:rPr>
          <w:rFonts w:ascii="Times New Roman" w:hAnsi="Times New Roman"/>
        </w:rPr>
        <w:t xml:space="preserve"> </w:t>
      </w:r>
    </w:p>
    <w:p w14:paraId="26C4ADD7" w14:textId="2634218F" w:rsidR="00390F29" w:rsidRPr="00390F29" w:rsidRDefault="00390F29" w:rsidP="00390F29">
      <w:pPr>
        <w:rPr>
          <w:rFonts w:ascii="Times New Roman" w:hAnsi="Times New Roman"/>
        </w:rPr>
      </w:pPr>
      <w:r w:rsidRPr="00390F29">
        <w:rPr>
          <w:rFonts w:ascii="Times New Roman" w:hAnsi="Times New Roman"/>
        </w:rPr>
        <w:t># 1,186 patients have &gt;=12 and &gt;=3 months of continuous (&lt;=7 days gap allowed) medical and pharmacy benefits coverage before and after index.</w:t>
      </w:r>
    </w:p>
    <w:p w14:paraId="624DC674" w14:textId="5D64CABD" w:rsidR="00390F29" w:rsidRPr="00390F29" w:rsidRDefault="00390F29" w:rsidP="00390F29">
      <w:pPr>
        <w:rPr>
          <w:rFonts w:ascii="Times New Roman" w:hAnsi="Times New Roman"/>
        </w:rPr>
      </w:pPr>
      <w:r w:rsidRPr="00390F29">
        <w:rPr>
          <w:rFonts w:ascii="Times New Roman" w:hAnsi="Times New Roman"/>
        </w:rPr>
        <w:t xml:space="preserve"># 455 patients after excluding patients with </w:t>
      </w:r>
      <w:r w:rsidR="00B1068A">
        <w:rPr>
          <w:rFonts w:ascii="Times New Roman" w:hAnsi="Times New Roman"/>
        </w:rPr>
        <w:t xml:space="preserve">B/T </w:t>
      </w:r>
      <w:r w:rsidRPr="00390F29">
        <w:rPr>
          <w:rFonts w:ascii="Times New Roman" w:hAnsi="Times New Roman"/>
        </w:rPr>
        <w:t>fills</w:t>
      </w:r>
      <w:r w:rsidR="00B1068A">
        <w:rPr>
          <w:rFonts w:ascii="Times New Roman" w:hAnsi="Times New Roman"/>
        </w:rPr>
        <w:t>/administrations in claims before index</w:t>
      </w:r>
    </w:p>
    <w:p w14:paraId="5CC33691" w14:textId="77777777" w:rsidR="00390F29" w:rsidRPr="00390F29" w:rsidRDefault="00390F29" w:rsidP="00390F29">
      <w:pPr>
        <w:rPr>
          <w:rFonts w:ascii="Times New Roman" w:hAnsi="Times New Roman"/>
        </w:rPr>
      </w:pPr>
      <w:r w:rsidRPr="00390F29">
        <w:rPr>
          <w:rFonts w:ascii="Times New Roman" w:hAnsi="Times New Roman"/>
        </w:rPr>
        <w:t># 449 patients after excluding patients with hospitalization within 3 months after index</w:t>
      </w:r>
    </w:p>
    <w:p w14:paraId="48113E21" w14:textId="3B355640" w:rsidR="00390F29" w:rsidRPr="00390F29" w:rsidRDefault="00390F29" w:rsidP="00390F29">
      <w:pPr>
        <w:rPr>
          <w:rFonts w:ascii="Times New Roman" w:hAnsi="Times New Roman"/>
        </w:rPr>
      </w:pPr>
      <w:r w:rsidRPr="00390F29">
        <w:rPr>
          <w:rFonts w:ascii="Times New Roman" w:hAnsi="Times New Roman"/>
        </w:rPr>
        <w:t xml:space="preserve"># 412 patients after excluding prior diagnoses of </w:t>
      </w:r>
      <w:r w:rsidRPr="00DC4B5A">
        <w:rPr>
          <w:rFonts w:ascii="Times New Roman" w:hAnsi="Times New Roman"/>
        </w:rPr>
        <w:t>psoriasis or psoriatic ar</w:t>
      </w:r>
      <w:r>
        <w:rPr>
          <w:rFonts w:ascii="Times New Roman" w:hAnsi="Times New Roman"/>
        </w:rPr>
        <w:t xml:space="preserve">thritis, </w:t>
      </w:r>
      <w:r w:rsidRPr="00DC4B5A">
        <w:rPr>
          <w:rFonts w:ascii="Times New Roman" w:hAnsi="Times New Roman"/>
        </w:rPr>
        <w:t xml:space="preserve">inflammatory </w:t>
      </w:r>
      <w:r>
        <w:rPr>
          <w:rFonts w:ascii="Times New Roman" w:hAnsi="Times New Roman"/>
        </w:rPr>
        <w:t>bowel disease</w:t>
      </w:r>
      <w:r w:rsidRPr="00DC4B5A">
        <w:rPr>
          <w:rFonts w:ascii="Times New Roman" w:hAnsi="Times New Roman"/>
        </w:rPr>
        <w:t>,</w:t>
      </w:r>
      <w:r>
        <w:rPr>
          <w:rFonts w:ascii="Times New Roman" w:hAnsi="Times New Roman"/>
        </w:rPr>
        <w:t xml:space="preserve"> ankylosing spondylitis</w:t>
      </w:r>
      <w:r w:rsidRPr="00DC4B5A">
        <w:rPr>
          <w:rFonts w:ascii="Times New Roman" w:hAnsi="Times New Roman"/>
        </w:rPr>
        <w:t xml:space="preserve">, or </w:t>
      </w:r>
      <w:r>
        <w:rPr>
          <w:rFonts w:ascii="Times New Roman" w:hAnsi="Times New Roman"/>
        </w:rPr>
        <w:t xml:space="preserve">cancer excluding </w:t>
      </w:r>
      <w:r w:rsidRPr="00DC4B5A">
        <w:rPr>
          <w:rFonts w:ascii="Times New Roman" w:hAnsi="Times New Roman"/>
        </w:rPr>
        <w:t>n</w:t>
      </w:r>
      <w:r>
        <w:rPr>
          <w:rFonts w:ascii="Times New Roman" w:hAnsi="Times New Roman"/>
        </w:rPr>
        <w:t>on-melanoma skin cancer.</w:t>
      </w:r>
    </w:p>
    <w:p w14:paraId="58894F94" w14:textId="77777777" w:rsidR="00390F29" w:rsidRPr="00390F29" w:rsidRDefault="00390F29" w:rsidP="00390F29">
      <w:pPr>
        <w:rPr>
          <w:rFonts w:ascii="Times New Roman" w:hAnsi="Times New Roman"/>
        </w:rPr>
      </w:pPr>
    </w:p>
    <w:p w14:paraId="1C88C069" w14:textId="1BB13E01" w:rsidR="00390F29" w:rsidRDefault="00390F29" w:rsidP="00390F29">
      <w:pPr>
        <w:rPr>
          <w:rFonts w:ascii="Times New Roman" w:hAnsi="Times New Roman"/>
        </w:rPr>
      </w:pPr>
      <w:r w:rsidRPr="00390F29">
        <w:rPr>
          <w:rFonts w:ascii="Times New Roman" w:hAnsi="Times New Roman"/>
        </w:rPr>
        <w:t xml:space="preserve"># </w:t>
      </w:r>
      <w:r w:rsidR="00B1068A">
        <w:rPr>
          <w:rFonts w:ascii="Times New Roman" w:hAnsi="Times New Roman"/>
        </w:rPr>
        <w:t xml:space="preserve">B/T </w:t>
      </w:r>
      <w:r>
        <w:rPr>
          <w:rFonts w:ascii="Times New Roman" w:hAnsi="Times New Roman"/>
        </w:rPr>
        <w:t>Filled/administered beyond 3 months post index: 36</w:t>
      </w:r>
    </w:p>
    <w:p w14:paraId="4D44F393" w14:textId="30A27D70" w:rsidR="00390F29" w:rsidRDefault="00390F29" w:rsidP="00390F29">
      <w:pPr>
        <w:rPr>
          <w:rFonts w:ascii="Times New Roman" w:hAnsi="Times New Roman"/>
        </w:rPr>
      </w:pPr>
      <w:r>
        <w:rPr>
          <w:rFonts w:ascii="Times New Roman" w:hAnsi="Times New Roman"/>
        </w:rPr>
        <w:t xml:space="preserve"># </w:t>
      </w:r>
      <w:r w:rsidR="00B1068A">
        <w:rPr>
          <w:rFonts w:ascii="Times New Roman" w:hAnsi="Times New Roman"/>
        </w:rPr>
        <w:t xml:space="preserve">B/T </w:t>
      </w:r>
      <w:r>
        <w:rPr>
          <w:rFonts w:ascii="Times New Roman" w:hAnsi="Times New Roman"/>
        </w:rPr>
        <w:t>Filled/administered within 3 months post index: 251</w:t>
      </w:r>
      <w:r w:rsidR="005F60BF">
        <w:rPr>
          <w:rFonts w:ascii="Times New Roman" w:hAnsi="Times New Roman"/>
        </w:rPr>
        <w:t>*</w:t>
      </w:r>
    </w:p>
    <w:p w14:paraId="0893B3CE" w14:textId="3C6C19EA" w:rsidR="00390F29" w:rsidRDefault="00390F29" w:rsidP="00390F29">
      <w:pPr>
        <w:rPr>
          <w:rFonts w:ascii="Times New Roman" w:hAnsi="Times New Roman"/>
        </w:rPr>
      </w:pPr>
      <w:r>
        <w:rPr>
          <w:rFonts w:ascii="Times New Roman" w:hAnsi="Times New Roman"/>
        </w:rPr>
        <w:t xml:space="preserve"># </w:t>
      </w:r>
      <w:r w:rsidR="00B1068A">
        <w:rPr>
          <w:rFonts w:ascii="Times New Roman" w:hAnsi="Times New Roman"/>
        </w:rPr>
        <w:t xml:space="preserve">B/T </w:t>
      </w:r>
      <w:r>
        <w:rPr>
          <w:rFonts w:ascii="Times New Roman" w:hAnsi="Times New Roman"/>
        </w:rPr>
        <w:t>Filled/administered not recorded during 3+ months post index: 125</w:t>
      </w:r>
    </w:p>
    <w:p w14:paraId="659EA3E8" w14:textId="2ED9ADDD" w:rsidR="00B925D3" w:rsidRDefault="00390F29" w:rsidP="00390F29">
      <w:pPr>
        <w:rPr>
          <w:rFonts w:ascii="Times New Roman" w:hAnsi="Times New Roman"/>
        </w:rPr>
      </w:pPr>
      <w:r>
        <w:rPr>
          <w:rFonts w:ascii="Times New Roman" w:hAnsi="Times New Roman"/>
        </w:rPr>
        <w:t xml:space="preserve"># Primary </w:t>
      </w:r>
      <w:r w:rsidR="00657A13">
        <w:rPr>
          <w:rFonts w:ascii="Times New Roman" w:hAnsi="Times New Roman"/>
        </w:rPr>
        <w:t>non-</w:t>
      </w:r>
      <w:r>
        <w:rPr>
          <w:rFonts w:ascii="Times New Roman" w:hAnsi="Times New Roman"/>
        </w:rPr>
        <w:t xml:space="preserve">adherence of </w:t>
      </w:r>
      <w:r w:rsidR="00B1068A">
        <w:rPr>
          <w:rFonts w:ascii="Times New Roman" w:hAnsi="Times New Roman"/>
        </w:rPr>
        <w:t xml:space="preserve">B/T </w:t>
      </w:r>
      <w:r>
        <w:rPr>
          <w:rFonts w:ascii="Times New Roman" w:hAnsi="Times New Roman"/>
        </w:rPr>
        <w:t xml:space="preserve">within 3 months of prescription: </w:t>
      </w:r>
      <w:r w:rsidR="00657A13">
        <w:rPr>
          <w:rFonts w:ascii="Times New Roman" w:hAnsi="Times New Roman"/>
        </w:rPr>
        <w:t>1-</w:t>
      </w:r>
      <w:r>
        <w:rPr>
          <w:rFonts w:ascii="Times New Roman" w:hAnsi="Times New Roman"/>
        </w:rPr>
        <w:t>251/</w:t>
      </w:r>
      <w:r w:rsidR="00657A13">
        <w:rPr>
          <w:rFonts w:ascii="Times New Roman" w:hAnsi="Times New Roman"/>
        </w:rPr>
        <w:t>412=39.1</w:t>
      </w:r>
      <w:r>
        <w:rPr>
          <w:rFonts w:ascii="Times New Roman" w:hAnsi="Times New Roman"/>
        </w:rPr>
        <w:t>%</w:t>
      </w:r>
    </w:p>
    <w:p w14:paraId="653F33D2" w14:textId="77777777" w:rsidR="00390F29" w:rsidRDefault="00390F29" w:rsidP="00390F29">
      <w:pPr>
        <w:rPr>
          <w:rFonts w:ascii="Times New Roman" w:hAnsi="Times New Roman"/>
          <w:b/>
        </w:rPr>
      </w:pPr>
    </w:p>
    <w:p w14:paraId="3B4DA344" w14:textId="0B490772" w:rsidR="00E02B9B" w:rsidRPr="00E02B9B" w:rsidRDefault="005F60BF" w:rsidP="00390F29">
      <w:pPr>
        <w:rPr>
          <w:rFonts w:ascii="Times New Roman" w:hAnsi="Times New Roman"/>
        </w:rPr>
      </w:pPr>
      <w:r>
        <w:rPr>
          <w:rFonts w:ascii="Times New Roman" w:hAnsi="Times New Roman"/>
        </w:rPr>
        <w:t xml:space="preserve">* </w:t>
      </w:r>
      <w:r w:rsidR="00E02B9B" w:rsidRPr="00E02B9B">
        <w:rPr>
          <w:rFonts w:ascii="Times New Roman" w:hAnsi="Times New Roman"/>
        </w:rPr>
        <w:t xml:space="preserve">The 251 </w:t>
      </w:r>
      <w:r w:rsidR="00B1068A">
        <w:rPr>
          <w:rFonts w:ascii="Times New Roman" w:hAnsi="Times New Roman"/>
        </w:rPr>
        <w:t>first B/T</w:t>
      </w:r>
      <w:r w:rsidR="00E02B9B" w:rsidRPr="00E02B9B">
        <w:rPr>
          <w:rFonts w:ascii="Times New Roman" w:hAnsi="Times New Roman"/>
        </w:rPr>
        <w:t xml:space="preserve"> fill/administration </w:t>
      </w:r>
      <w:r w:rsidR="00B1068A" w:rsidRPr="00E02B9B">
        <w:rPr>
          <w:rFonts w:ascii="Times New Roman" w:hAnsi="Times New Roman"/>
        </w:rPr>
        <w:t>within 3 months of prescription</w:t>
      </w:r>
      <w:r w:rsidR="00B1068A">
        <w:rPr>
          <w:rFonts w:ascii="Times New Roman" w:hAnsi="Times New Roman"/>
        </w:rPr>
        <w:t xml:space="preserve"> include </w:t>
      </w:r>
      <w:r w:rsidR="00B1068A">
        <w:rPr>
          <w:rFonts w:ascii="Times New Roman" w:hAnsi="Times New Roman"/>
        </w:rPr>
        <w:t>219 SC, 26 IV</w:t>
      </w:r>
      <w:r w:rsidR="00B1068A">
        <w:rPr>
          <w:rFonts w:ascii="Times New Roman" w:hAnsi="Times New Roman"/>
        </w:rPr>
        <w:t xml:space="preserve">, 6 </w:t>
      </w:r>
      <w:proofErr w:type="spellStart"/>
      <w:r w:rsidR="00B1068A">
        <w:rPr>
          <w:rFonts w:ascii="Times New Roman" w:hAnsi="Times New Roman"/>
        </w:rPr>
        <w:t>tofacitinib</w:t>
      </w:r>
      <w:proofErr w:type="spellEnd"/>
      <w:r w:rsidR="00B1068A">
        <w:rPr>
          <w:rFonts w:ascii="Times New Roman" w:hAnsi="Times New Roman"/>
        </w:rPr>
        <w:t xml:space="preserve">. See below. </w:t>
      </w:r>
    </w:p>
    <w:p w14:paraId="0F2619D7" w14:textId="6D4F47EF" w:rsidR="00E02B9B" w:rsidRDefault="00E02B9B" w:rsidP="00E02B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00003218811 00003218831 00069100101 00074379902 00074433902 50474070062 </w:t>
      </w:r>
    </w:p>
    <w:p w14:paraId="4825047E" w14:textId="77777777" w:rsidR="005F60BF" w:rsidRDefault="00E02B9B" w:rsidP="005F6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3           7           6          11          39           1           50474071079 50474071081 57894003001 57894007001 57894007002 58406043504 </w:t>
      </w:r>
    </w:p>
    <w:p w14:paraId="43B9FF62" w14:textId="7170D237" w:rsidR="00E02B9B" w:rsidRDefault="005F60BF" w:rsidP="005F6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  4</w:t>
      </w:r>
      <w:r>
        <w:rPr>
          <w:rFonts w:ascii="Lucida Console" w:hAnsi="Lucida Console"/>
          <w:color w:val="000000"/>
        </w:rPr>
        <w:tab/>
      </w:r>
      <w:r>
        <w:rPr>
          <w:rFonts w:ascii="Lucida Console" w:hAnsi="Lucida Console"/>
          <w:color w:val="000000"/>
        </w:rPr>
        <w:tab/>
      </w:r>
      <w:r w:rsidR="00E02B9B">
        <w:rPr>
          <w:rFonts w:ascii="Lucida Console" w:hAnsi="Lucida Console"/>
          <w:color w:val="000000"/>
        </w:rPr>
        <w:t xml:space="preserve">1           2           1           7          17 </w:t>
      </w:r>
    </w:p>
    <w:p w14:paraId="518727DF" w14:textId="2106E1DF" w:rsidR="00E02B9B" w:rsidRDefault="00E02B9B" w:rsidP="00E02B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58406044501 58406044504 66658023407       J0129       J1602       J1745       </w:t>
      </w:r>
    </w:p>
    <w:p w14:paraId="36116DFD" w14:textId="77777777" w:rsidR="00E02B9B" w:rsidRDefault="00E02B9B" w:rsidP="00E02B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122           1          10           1          13           J3262       J9310 </w:t>
      </w:r>
    </w:p>
    <w:p w14:paraId="4911649C" w14:textId="55B5411A" w:rsidR="00E02B9B" w:rsidRDefault="00E02B9B" w:rsidP="00E02B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1           1 </w:t>
      </w:r>
    </w:p>
    <w:p w14:paraId="58618B21" w14:textId="77777777" w:rsidR="00E02B9B" w:rsidRDefault="00E02B9B" w:rsidP="00390F29">
      <w:pPr>
        <w:rPr>
          <w:rFonts w:ascii="Times New Roman" w:hAnsi="Times New Roman"/>
          <w:b/>
        </w:rPr>
      </w:pPr>
    </w:p>
    <w:p w14:paraId="38DE6FF2" w14:textId="77777777" w:rsidR="00E02B9B" w:rsidRDefault="00E02B9B" w:rsidP="00390F29">
      <w:pPr>
        <w:rPr>
          <w:rFonts w:ascii="Times New Roman" w:hAnsi="Times New Roman"/>
          <w:b/>
        </w:rPr>
      </w:pPr>
    </w:p>
    <w:p w14:paraId="2FAD5E4A" w14:textId="1C4A00B7" w:rsidR="00B925D3" w:rsidRPr="00395221" w:rsidRDefault="00B925D3" w:rsidP="00B925D3">
      <w:pPr>
        <w:rPr>
          <w:rFonts w:ascii="Times New Roman" w:hAnsi="Times New Roman"/>
          <w:b/>
        </w:rPr>
      </w:pPr>
      <w:r w:rsidRPr="00395221">
        <w:rPr>
          <w:rFonts w:ascii="Times New Roman" w:hAnsi="Times New Roman"/>
          <w:b/>
        </w:rPr>
        <w:t>Sample</w:t>
      </w:r>
      <w:r>
        <w:rPr>
          <w:rFonts w:ascii="Times New Roman" w:hAnsi="Times New Roman"/>
          <w:b/>
        </w:rPr>
        <w:t xml:space="preserve"> for </w:t>
      </w:r>
      <w:r w:rsidR="005F60BF">
        <w:rPr>
          <w:rFonts w:ascii="Times New Roman" w:hAnsi="Times New Roman"/>
          <w:b/>
        </w:rPr>
        <w:t>12 month discontinuation</w:t>
      </w:r>
      <w:r w:rsidRPr="00395221">
        <w:rPr>
          <w:rFonts w:ascii="Times New Roman" w:hAnsi="Times New Roman"/>
          <w:b/>
        </w:rPr>
        <w:t>:</w:t>
      </w:r>
    </w:p>
    <w:p w14:paraId="290713F4" w14:textId="77777777" w:rsidR="00B925D3" w:rsidRDefault="00B925D3" w:rsidP="00B925D3">
      <w:pPr>
        <w:rPr>
          <w:rFonts w:ascii="Times New Roman" w:hAnsi="Times New Roman"/>
        </w:rPr>
      </w:pPr>
    </w:p>
    <w:p w14:paraId="3ED5D716" w14:textId="100939C4" w:rsidR="003B09DB" w:rsidRDefault="00B925D3" w:rsidP="00B925D3">
      <w:pPr>
        <w:rPr>
          <w:rFonts w:ascii="Times New Roman" w:hAnsi="Times New Roman"/>
        </w:rPr>
      </w:pPr>
      <w:r>
        <w:rPr>
          <w:rFonts w:ascii="Times New Roman" w:hAnsi="Times New Roman"/>
        </w:rPr>
        <w:t xml:space="preserve">Step 4: Among </w:t>
      </w:r>
      <w:r w:rsidR="00E70D30">
        <w:rPr>
          <w:rFonts w:ascii="Times New Roman" w:hAnsi="Times New Roman"/>
        </w:rPr>
        <w:t>the 461 who</w:t>
      </w:r>
      <w:r>
        <w:rPr>
          <w:rFonts w:ascii="Times New Roman" w:hAnsi="Times New Roman"/>
        </w:rPr>
        <w:t xml:space="preserve"> initiated MTX</w:t>
      </w:r>
      <w:r w:rsidR="00E70D30">
        <w:rPr>
          <w:rFonts w:ascii="Times New Roman" w:hAnsi="Times New Roman"/>
        </w:rPr>
        <w:t xml:space="preserve"> within 2 months </w:t>
      </w:r>
      <w:r w:rsidR="00773430">
        <w:rPr>
          <w:rFonts w:ascii="Times New Roman" w:hAnsi="Times New Roman"/>
        </w:rPr>
        <w:t xml:space="preserve">and </w:t>
      </w:r>
      <w:r w:rsidR="00E70D30">
        <w:rPr>
          <w:rFonts w:ascii="Times New Roman" w:hAnsi="Times New Roman"/>
        </w:rPr>
        <w:t xml:space="preserve">the 251 patients who initiated </w:t>
      </w:r>
      <w:r w:rsidR="00773430">
        <w:rPr>
          <w:rFonts w:ascii="Times New Roman" w:hAnsi="Times New Roman"/>
        </w:rPr>
        <w:t>biologics/</w:t>
      </w:r>
      <w:proofErr w:type="spellStart"/>
      <w:r w:rsidR="00773430">
        <w:rPr>
          <w:rFonts w:ascii="Times New Roman" w:hAnsi="Times New Roman"/>
        </w:rPr>
        <w:t>tofacitinib</w:t>
      </w:r>
      <w:proofErr w:type="spellEnd"/>
      <w:r w:rsidR="00E70D30">
        <w:rPr>
          <w:rFonts w:ascii="Times New Roman" w:hAnsi="Times New Roman"/>
        </w:rPr>
        <w:t xml:space="preserve"> within 3 months</w:t>
      </w:r>
      <w:r w:rsidR="00773430">
        <w:rPr>
          <w:rFonts w:ascii="Times New Roman" w:hAnsi="Times New Roman"/>
        </w:rPr>
        <w:t xml:space="preserve">, we required 12 months </w:t>
      </w:r>
      <w:r>
        <w:rPr>
          <w:rFonts w:ascii="Times New Roman" w:hAnsi="Times New Roman"/>
        </w:rPr>
        <w:t>of continuous medical and pharmacy insurance after drug initiation</w:t>
      </w:r>
      <w:r w:rsidR="00773430">
        <w:rPr>
          <w:rFonts w:ascii="Times New Roman" w:hAnsi="Times New Roman"/>
        </w:rPr>
        <w:t xml:space="preserve">, </w:t>
      </w:r>
      <w:r w:rsidR="00D82C8C">
        <w:rPr>
          <w:rFonts w:ascii="Times New Roman" w:hAnsi="Times New Roman"/>
        </w:rPr>
        <w:t xml:space="preserve">resulting in 309 and 171 patients </w:t>
      </w:r>
      <w:r w:rsidR="00773430">
        <w:rPr>
          <w:rFonts w:ascii="Times New Roman" w:hAnsi="Times New Roman"/>
        </w:rPr>
        <w:t>respectively</w:t>
      </w:r>
      <w:r>
        <w:rPr>
          <w:rFonts w:ascii="Times New Roman" w:hAnsi="Times New Roman"/>
        </w:rPr>
        <w:t xml:space="preserve">. </w:t>
      </w:r>
      <w:r w:rsidR="003B09DB">
        <w:rPr>
          <w:rFonts w:ascii="Times New Roman" w:hAnsi="Times New Roman"/>
        </w:rPr>
        <w:t>Further requiring no RA-related hospitalization</w:t>
      </w:r>
      <w:r w:rsidR="0036463E">
        <w:rPr>
          <w:rFonts w:ascii="Times New Roman" w:hAnsi="Times New Roman"/>
        </w:rPr>
        <w:t xml:space="preserve"> during the follow up period </w:t>
      </w:r>
      <w:r w:rsidR="003B09DB">
        <w:rPr>
          <w:rFonts w:ascii="Times New Roman" w:hAnsi="Times New Roman"/>
        </w:rPr>
        <w:t>reduc</w:t>
      </w:r>
      <w:r w:rsidR="002528FE">
        <w:rPr>
          <w:rFonts w:ascii="Times New Roman" w:hAnsi="Times New Roman"/>
        </w:rPr>
        <w:t>ed the number of patients to 300</w:t>
      </w:r>
      <w:r w:rsidR="003B09DB">
        <w:rPr>
          <w:rFonts w:ascii="Times New Roman" w:hAnsi="Times New Roman"/>
        </w:rPr>
        <w:t xml:space="preserve"> and </w:t>
      </w:r>
      <w:r w:rsidR="00D82C8C">
        <w:rPr>
          <w:rFonts w:ascii="Times New Roman" w:hAnsi="Times New Roman"/>
        </w:rPr>
        <w:t>160</w:t>
      </w:r>
      <w:r w:rsidR="0036463E">
        <w:rPr>
          <w:rFonts w:ascii="Times New Roman" w:hAnsi="Times New Roman"/>
        </w:rPr>
        <w:t xml:space="preserve">, respectively. </w:t>
      </w:r>
    </w:p>
    <w:p w14:paraId="3A88DDAF" w14:textId="77777777" w:rsidR="00B925D3" w:rsidRPr="00FC63B2" w:rsidRDefault="00B925D3" w:rsidP="00390F29">
      <w:pPr>
        <w:rPr>
          <w:rFonts w:ascii="Times New Roman" w:hAnsi="Times New Roman"/>
        </w:rPr>
      </w:pPr>
    </w:p>
    <w:p w14:paraId="57E8DE7C" w14:textId="0F7BEDBD" w:rsidR="00FC63B2" w:rsidRPr="00FC63B2" w:rsidRDefault="00FC63B2" w:rsidP="00390F29">
      <w:pPr>
        <w:rPr>
          <w:rFonts w:ascii="Times New Roman" w:hAnsi="Times New Roman"/>
        </w:rPr>
      </w:pPr>
      <w:r w:rsidRPr="00FC63B2">
        <w:rPr>
          <w:rFonts w:ascii="Times New Roman" w:hAnsi="Times New Roman"/>
        </w:rPr>
        <w:t xml:space="preserve">MTX </w:t>
      </w:r>
      <w:r>
        <w:rPr>
          <w:rFonts w:ascii="Times New Roman" w:hAnsi="Times New Roman"/>
        </w:rPr>
        <w:t>discontinuation is</w:t>
      </w:r>
      <w:r w:rsidR="00095F20">
        <w:rPr>
          <w:rFonts w:ascii="Times New Roman" w:hAnsi="Times New Roman"/>
        </w:rPr>
        <w:t xml:space="preserve"> defined as no MTX fill during 9</w:t>
      </w:r>
      <w:r>
        <w:rPr>
          <w:rFonts w:ascii="Times New Roman" w:hAnsi="Times New Roman"/>
        </w:rPr>
        <w:t xml:space="preserve">0 days </w:t>
      </w:r>
      <w:r w:rsidR="00E00C09">
        <w:rPr>
          <w:rFonts w:ascii="Times New Roman" w:hAnsi="Times New Roman"/>
        </w:rPr>
        <w:t>after</w:t>
      </w:r>
      <w:r>
        <w:rPr>
          <w:rFonts w:ascii="Times New Roman" w:hAnsi="Times New Roman"/>
        </w:rPr>
        <w:t xml:space="preserve"> the </w:t>
      </w:r>
      <w:r w:rsidR="00657A13">
        <w:rPr>
          <w:rFonts w:ascii="Times New Roman" w:hAnsi="Times New Roman"/>
        </w:rPr>
        <w:t>previous</w:t>
      </w:r>
      <w:r>
        <w:rPr>
          <w:rFonts w:ascii="Times New Roman" w:hAnsi="Times New Roman"/>
        </w:rPr>
        <w:t xml:space="preserve"> MTX fill plus its days of supply</w:t>
      </w:r>
      <w:r w:rsidR="00657A13">
        <w:rPr>
          <w:rFonts w:ascii="Times New Roman" w:hAnsi="Times New Roman"/>
        </w:rPr>
        <w:t xml:space="preserve">. </w:t>
      </w:r>
    </w:p>
    <w:p w14:paraId="0043BA7E" w14:textId="77777777" w:rsidR="00FC63B2" w:rsidRDefault="00FC63B2" w:rsidP="00390F29">
      <w:pPr>
        <w:rPr>
          <w:rFonts w:ascii="Times New Roman" w:hAnsi="Times New Roman"/>
          <w:b/>
        </w:rPr>
      </w:pPr>
    </w:p>
    <w:p w14:paraId="24114259" w14:textId="4F7AED8C" w:rsidR="00657A13" w:rsidRPr="00FC63B2" w:rsidRDefault="00AE3D63" w:rsidP="00657A13">
      <w:pPr>
        <w:rPr>
          <w:rFonts w:ascii="Times New Roman" w:hAnsi="Times New Roman"/>
        </w:rPr>
      </w:pPr>
      <w:r>
        <w:rPr>
          <w:rFonts w:ascii="Times New Roman" w:hAnsi="Times New Roman"/>
        </w:rPr>
        <w:t>Biologics</w:t>
      </w:r>
      <w:r w:rsidR="00657A13">
        <w:rPr>
          <w:rFonts w:ascii="Times New Roman" w:hAnsi="Times New Roman"/>
        </w:rPr>
        <w:t>/</w:t>
      </w:r>
      <w:proofErr w:type="spellStart"/>
      <w:r w:rsidR="00657A13">
        <w:rPr>
          <w:rFonts w:ascii="Times New Roman" w:hAnsi="Times New Roman"/>
        </w:rPr>
        <w:t>tofacitinib</w:t>
      </w:r>
      <w:proofErr w:type="spellEnd"/>
      <w:r w:rsidR="00657A13" w:rsidRPr="00FC63B2">
        <w:rPr>
          <w:rFonts w:ascii="Times New Roman" w:hAnsi="Times New Roman"/>
        </w:rPr>
        <w:t xml:space="preserve"> </w:t>
      </w:r>
      <w:r w:rsidR="00657A13">
        <w:rPr>
          <w:rFonts w:ascii="Times New Roman" w:hAnsi="Times New Roman"/>
        </w:rPr>
        <w:t xml:space="preserve">discontinuation is defined as no B/T fill/administration during 90 days after the previous B/T fill/administration plus its duration. </w:t>
      </w:r>
      <w:bookmarkStart w:id="0" w:name="_GoBack"/>
      <w:bookmarkEnd w:id="0"/>
    </w:p>
    <w:p w14:paraId="647CD556" w14:textId="77777777" w:rsidR="00657A13" w:rsidRDefault="00657A13" w:rsidP="00390F29">
      <w:pPr>
        <w:rPr>
          <w:rFonts w:ascii="Times New Roman" w:hAnsi="Times New Roman"/>
          <w:b/>
        </w:rPr>
      </w:pPr>
    </w:p>
    <w:p w14:paraId="200E6D1E" w14:textId="77777777" w:rsidR="00657A13" w:rsidRDefault="00657A13" w:rsidP="00390F29">
      <w:pPr>
        <w:rPr>
          <w:rFonts w:ascii="Times New Roman" w:hAnsi="Times New Roman"/>
          <w:b/>
        </w:rPr>
      </w:pPr>
    </w:p>
    <w:p w14:paraId="2135338A" w14:textId="5E0A298C" w:rsidR="00FC63B2" w:rsidRDefault="005F60BF" w:rsidP="00390F29">
      <w:pPr>
        <w:rPr>
          <w:rFonts w:ascii="Times New Roman" w:hAnsi="Times New Roman"/>
          <w:b/>
        </w:rPr>
      </w:pPr>
      <w:r>
        <w:rPr>
          <w:rFonts w:ascii="Times New Roman" w:hAnsi="Times New Roman"/>
          <w:b/>
        </w:rPr>
        <w:t xml:space="preserve">12 Month </w:t>
      </w:r>
      <w:r w:rsidR="00FC63B2">
        <w:rPr>
          <w:rFonts w:ascii="Times New Roman" w:hAnsi="Times New Roman"/>
          <w:b/>
        </w:rPr>
        <w:t>Discontinuation</w:t>
      </w:r>
    </w:p>
    <w:p w14:paraId="5B40A4E1" w14:textId="77777777" w:rsidR="00FC63B2" w:rsidRPr="00FC63B2" w:rsidRDefault="00FC63B2" w:rsidP="00390F29">
      <w:pPr>
        <w:rPr>
          <w:rFonts w:ascii="Times New Roman" w:hAnsi="Times New Roman"/>
        </w:rPr>
      </w:pPr>
    </w:p>
    <w:p w14:paraId="2284AC9E" w14:textId="40225FA8" w:rsidR="00FC63B2" w:rsidRPr="00FC63B2" w:rsidRDefault="00FC63B2" w:rsidP="00390F29">
      <w:pPr>
        <w:rPr>
          <w:rFonts w:ascii="Times New Roman" w:hAnsi="Times New Roman"/>
          <w:u w:val="single"/>
        </w:rPr>
      </w:pPr>
      <w:r w:rsidRPr="00FC63B2">
        <w:rPr>
          <w:rFonts w:ascii="Times New Roman" w:hAnsi="Times New Roman"/>
          <w:u w:val="single"/>
        </w:rPr>
        <w:t>MTX</w:t>
      </w:r>
    </w:p>
    <w:p w14:paraId="56DEE5CA" w14:textId="77777777" w:rsidR="00FC63B2" w:rsidRDefault="00FC63B2" w:rsidP="00390F29">
      <w:pPr>
        <w:rPr>
          <w:rFonts w:ascii="Times New Roman" w:hAnsi="Times New Roman"/>
        </w:rPr>
      </w:pPr>
    </w:p>
    <w:p w14:paraId="01BC91BE" w14:textId="2370FE70" w:rsidR="00FC63B2" w:rsidRDefault="0077644D" w:rsidP="00390F29">
      <w:pPr>
        <w:rPr>
          <w:rFonts w:ascii="Times New Roman" w:hAnsi="Times New Roman"/>
        </w:rPr>
      </w:pPr>
      <w:r>
        <w:rPr>
          <w:rFonts w:ascii="Times New Roman" w:hAnsi="Times New Roman"/>
        </w:rPr>
        <w:t>113</w:t>
      </w:r>
      <w:r w:rsidR="00EC4B78">
        <w:rPr>
          <w:rFonts w:ascii="Times New Roman" w:hAnsi="Times New Roman"/>
        </w:rPr>
        <w:t xml:space="preserve"> out of the 300</w:t>
      </w:r>
      <w:r w:rsidR="00FC63B2">
        <w:rPr>
          <w:rFonts w:ascii="Times New Roman" w:hAnsi="Times New Roman"/>
        </w:rPr>
        <w:t xml:space="preserve"> MTX</w:t>
      </w:r>
      <w:r>
        <w:rPr>
          <w:rFonts w:ascii="Times New Roman" w:hAnsi="Times New Roman"/>
        </w:rPr>
        <w:t xml:space="preserve"> (37.7</w:t>
      </w:r>
      <w:r w:rsidR="00657A13">
        <w:rPr>
          <w:rFonts w:ascii="Times New Roman" w:hAnsi="Times New Roman"/>
        </w:rPr>
        <w:t>%)</w:t>
      </w:r>
      <w:r w:rsidR="00FC63B2">
        <w:rPr>
          <w:rFonts w:ascii="Times New Roman" w:hAnsi="Times New Roman"/>
        </w:rPr>
        <w:t xml:space="preserve"> patients discontinued within 12 months of </w:t>
      </w:r>
      <w:r w:rsidR="00657A13">
        <w:rPr>
          <w:rFonts w:ascii="Times New Roman" w:hAnsi="Times New Roman"/>
        </w:rPr>
        <w:t>MTX</w:t>
      </w:r>
      <w:r w:rsidR="00FC63B2">
        <w:rPr>
          <w:rFonts w:ascii="Times New Roman" w:hAnsi="Times New Roman"/>
        </w:rPr>
        <w:t xml:space="preserve"> initiation. </w:t>
      </w:r>
    </w:p>
    <w:p w14:paraId="129D954C" w14:textId="77777777" w:rsidR="00657A13" w:rsidRDefault="00657A13" w:rsidP="00390F29">
      <w:pPr>
        <w:rPr>
          <w:rFonts w:ascii="Times New Roman" w:hAnsi="Times New Roman"/>
        </w:rPr>
      </w:pPr>
    </w:p>
    <w:p w14:paraId="4275481F" w14:textId="77777777" w:rsidR="00657A13" w:rsidRDefault="00657A13" w:rsidP="00390F29">
      <w:pPr>
        <w:rPr>
          <w:rFonts w:ascii="Times New Roman" w:hAnsi="Times New Roman"/>
        </w:rPr>
      </w:pPr>
    </w:p>
    <w:p w14:paraId="285C99FD" w14:textId="786FC51B" w:rsidR="00657A13" w:rsidRPr="00AE3D63" w:rsidRDefault="00AE3D63" w:rsidP="00390F29">
      <w:pPr>
        <w:rPr>
          <w:rFonts w:ascii="Times New Roman" w:hAnsi="Times New Roman"/>
          <w:u w:val="single"/>
        </w:rPr>
      </w:pPr>
      <w:r w:rsidRPr="00AE3D63">
        <w:rPr>
          <w:rFonts w:ascii="Times New Roman" w:hAnsi="Times New Roman"/>
          <w:u w:val="single"/>
        </w:rPr>
        <w:t>Biologics/</w:t>
      </w:r>
      <w:proofErr w:type="spellStart"/>
      <w:r w:rsidRPr="00AE3D63">
        <w:rPr>
          <w:rFonts w:ascii="Times New Roman" w:hAnsi="Times New Roman"/>
          <w:u w:val="single"/>
        </w:rPr>
        <w:t>tofacitinib</w:t>
      </w:r>
      <w:proofErr w:type="spellEnd"/>
    </w:p>
    <w:p w14:paraId="038C58C1" w14:textId="77777777" w:rsidR="00657A13" w:rsidRDefault="00657A13" w:rsidP="00390F29">
      <w:pPr>
        <w:rPr>
          <w:rFonts w:ascii="Times New Roman" w:hAnsi="Times New Roman"/>
        </w:rPr>
      </w:pPr>
    </w:p>
    <w:p w14:paraId="7E5DBBF7" w14:textId="78346536" w:rsidR="00A8789C" w:rsidRDefault="00A848D9" w:rsidP="00A8789C">
      <w:pPr>
        <w:rPr>
          <w:rFonts w:ascii="Times New Roman" w:hAnsi="Times New Roman"/>
        </w:rPr>
      </w:pPr>
      <w:r>
        <w:rPr>
          <w:rFonts w:ascii="Times New Roman" w:hAnsi="Times New Roman"/>
        </w:rPr>
        <w:t xml:space="preserve">57 </w:t>
      </w:r>
      <w:r w:rsidR="00A8789C">
        <w:rPr>
          <w:rFonts w:ascii="Times New Roman" w:hAnsi="Times New Roman"/>
        </w:rPr>
        <w:t xml:space="preserve">out of the 160 </w:t>
      </w:r>
      <w:r>
        <w:rPr>
          <w:rFonts w:ascii="Times New Roman" w:hAnsi="Times New Roman"/>
        </w:rPr>
        <w:t>b</w:t>
      </w:r>
      <w:r w:rsidR="00A8789C">
        <w:rPr>
          <w:rFonts w:ascii="Times New Roman" w:hAnsi="Times New Roman"/>
        </w:rPr>
        <w:t>iologics/</w:t>
      </w:r>
      <w:proofErr w:type="spellStart"/>
      <w:r w:rsidR="00A8789C">
        <w:rPr>
          <w:rFonts w:ascii="Times New Roman" w:hAnsi="Times New Roman"/>
        </w:rPr>
        <w:t>tofacitinib</w:t>
      </w:r>
      <w:proofErr w:type="spellEnd"/>
      <w:r w:rsidR="00A8789C" w:rsidRPr="00FC63B2">
        <w:rPr>
          <w:rFonts w:ascii="Times New Roman" w:hAnsi="Times New Roman"/>
        </w:rPr>
        <w:t xml:space="preserve"> </w:t>
      </w:r>
      <w:r w:rsidR="00A8789C">
        <w:rPr>
          <w:rFonts w:ascii="Times New Roman" w:hAnsi="Times New Roman"/>
        </w:rPr>
        <w:t>(</w:t>
      </w:r>
      <w:r>
        <w:rPr>
          <w:rFonts w:ascii="Times New Roman" w:hAnsi="Times New Roman"/>
        </w:rPr>
        <w:t>35.6</w:t>
      </w:r>
      <w:r w:rsidR="00A8789C">
        <w:rPr>
          <w:rFonts w:ascii="Times New Roman" w:hAnsi="Times New Roman"/>
        </w:rPr>
        <w:t xml:space="preserve">%) patients discontinued within 12 months of </w:t>
      </w:r>
      <w:r>
        <w:rPr>
          <w:rFonts w:ascii="Times New Roman" w:hAnsi="Times New Roman"/>
        </w:rPr>
        <w:t>b</w:t>
      </w:r>
      <w:r w:rsidR="00A8789C">
        <w:rPr>
          <w:rFonts w:ascii="Times New Roman" w:hAnsi="Times New Roman"/>
        </w:rPr>
        <w:t>iologics/</w:t>
      </w:r>
      <w:proofErr w:type="spellStart"/>
      <w:r w:rsidR="00A8789C">
        <w:rPr>
          <w:rFonts w:ascii="Times New Roman" w:hAnsi="Times New Roman"/>
        </w:rPr>
        <w:t>tofacitinib</w:t>
      </w:r>
      <w:proofErr w:type="spellEnd"/>
      <w:r w:rsidR="00A8789C" w:rsidRPr="00FC63B2">
        <w:rPr>
          <w:rFonts w:ascii="Times New Roman" w:hAnsi="Times New Roman"/>
        </w:rPr>
        <w:t xml:space="preserve"> </w:t>
      </w:r>
      <w:r w:rsidR="00A8789C">
        <w:rPr>
          <w:rFonts w:ascii="Times New Roman" w:hAnsi="Times New Roman"/>
        </w:rPr>
        <w:t xml:space="preserve">initiation. </w:t>
      </w:r>
    </w:p>
    <w:p w14:paraId="3A358F6C" w14:textId="77777777" w:rsidR="00657A13" w:rsidRDefault="00657A13" w:rsidP="00390F29">
      <w:pPr>
        <w:rPr>
          <w:rFonts w:ascii="Times New Roman" w:hAnsi="Times New Roman"/>
        </w:rPr>
      </w:pPr>
    </w:p>
    <w:p w14:paraId="04516273" w14:textId="10C5529F" w:rsidR="00657A13" w:rsidRDefault="00657A13" w:rsidP="00390F29">
      <w:pPr>
        <w:rPr>
          <w:rFonts w:ascii="Times New Roman" w:hAnsi="Times New Roman"/>
          <w:b/>
        </w:rPr>
      </w:pPr>
      <w:r w:rsidRPr="00657A13">
        <w:rPr>
          <w:rFonts w:ascii="Times New Roman" w:hAnsi="Times New Roman"/>
          <w:b/>
        </w:rPr>
        <w:t xml:space="preserve">Total </w:t>
      </w:r>
      <w:r>
        <w:rPr>
          <w:rFonts w:ascii="Times New Roman" w:hAnsi="Times New Roman"/>
          <w:b/>
        </w:rPr>
        <w:t xml:space="preserve">non-adherence </w:t>
      </w:r>
      <w:r w:rsidRPr="00657A13">
        <w:rPr>
          <w:rFonts w:ascii="Times New Roman" w:hAnsi="Times New Roman"/>
          <w:b/>
        </w:rPr>
        <w:t xml:space="preserve">rate </w:t>
      </w:r>
      <w:r>
        <w:rPr>
          <w:rFonts w:ascii="Times New Roman" w:hAnsi="Times New Roman"/>
          <w:b/>
        </w:rPr>
        <w:t>to a prescription (</w:t>
      </w:r>
      <w:proofErr w:type="spellStart"/>
      <w:r>
        <w:rPr>
          <w:rFonts w:ascii="Times New Roman" w:hAnsi="Times New Roman"/>
          <w:b/>
        </w:rPr>
        <w:t>ie</w:t>
      </w:r>
      <w:proofErr w:type="spellEnd"/>
      <w:r>
        <w:rPr>
          <w:rFonts w:ascii="Times New Roman" w:hAnsi="Times New Roman"/>
          <w:b/>
        </w:rPr>
        <w:t>, intent to treat)</w:t>
      </w:r>
    </w:p>
    <w:p w14:paraId="7CFF628B" w14:textId="77777777" w:rsidR="00657A13" w:rsidRDefault="00657A13" w:rsidP="00657A13">
      <w:pPr>
        <w:rPr>
          <w:rFonts w:ascii="Times New Roman" w:hAnsi="Times New Roman"/>
          <w:u w:val="single"/>
        </w:rPr>
      </w:pPr>
    </w:p>
    <w:p w14:paraId="7B910CB9" w14:textId="56826266" w:rsidR="00657A13" w:rsidRPr="007B58FB" w:rsidRDefault="00657A13" w:rsidP="00657A13">
      <w:pPr>
        <w:rPr>
          <w:rFonts w:ascii="Times New Roman" w:hAnsi="Times New Roman"/>
          <w:u w:val="single"/>
        </w:rPr>
      </w:pPr>
      <w:r w:rsidRPr="007B58FB">
        <w:rPr>
          <w:rFonts w:ascii="Times New Roman" w:hAnsi="Times New Roman"/>
          <w:u w:val="single"/>
        </w:rPr>
        <w:t>MTX at 12-14 months</w:t>
      </w:r>
    </w:p>
    <w:p w14:paraId="413A7B18" w14:textId="77777777" w:rsidR="00657A13" w:rsidRPr="007B58FB" w:rsidRDefault="00657A13" w:rsidP="00390F29">
      <w:pPr>
        <w:rPr>
          <w:rFonts w:ascii="Times New Roman" w:hAnsi="Times New Roman"/>
        </w:rPr>
      </w:pPr>
    </w:p>
    <w:p w14:paraId="06A22094" w14:textId="0F019DD6" w:rsidR="00657A13" w:rsidRDefault="007B58FB" w:rsidP="00657A13">
      <w:pPr>
        <w:pStyle w:val="ListParagraph"/>
        <w:rPr>
          <w:rFonts w:ascii="Times New Roman" w:hAnsi="Times New Roman"/>
        </w:rPr>
      </w:pPr>
      <w:r w:rsidRPr="007B58FB">
        <w:rPr>
          <w:rFonts w:ascii="Times New Roman" w:hAnsi="Times New Roman"/>
        </w:rPr>
        <w:t xml:space="preserve">Total non-adherence rate </w:t>
      </w:r>
      <w:r>
        <w:rPr>
          <w:rFonts w:ascii="Times New Roman" w:hAnsi="Times New Roman"/>
        </w:rPr>
        <w:t xml:space="preserve">= </w:t>
      </w:r>
      <w:proofErr w:type="gramStart"/>
      <w:r w:rsidRPr="007B58FB">
        <w:rPr>
          <w:rFonts w:ascii="Times New Roman" w:hAnsi="Times New Roman"/>
        </w:rPr>
        <w:t>36.8%</w:t>
      </w:r>
      <w:proofErr w:type="gramEnd"/>
      <w:r w:rsidRPr="007B58FB">
        <w:rPr>
          <w:rFonts w:ascii="Times New Roman" w:hAnsi="Times New Roman"/>
        </w:rPr>
        <w:t>+(</w:t>
      </w:r>
      <w:r w:rsidR="0077644D">
        <w:rPr>
          <w:rFonts w:ascii="Times New Roman" w:hAnsi="Times New Roman"/>
        </w:rPr>
        <w:t>1-36.8%)*37.7</w:t>
      </w:r>
      <w:r w:rsidR="00657A13" w:rsidRPr="007B58FB">
        <w:rPr>
          <w:rFonts w:ascii="Times New Roman" w:hAnsi="Times New Roman"/>
        </w:rPr>
        <w:t>%=</w:t>
      </w:r>
      <w:r w:rsidR="0077644D">
        <w:rPr>
          <w:rFonts w:ascii="Times New Roman" w:hAnsi="Times New Roman"/>
        </w:rPr>
        <w:t>60.6</w:t>
      </w:r>
      <w:r w:rsidRPr="007B58FB">
        <w:rPr>
          <w:rFonts w:ascii="Times New Roman" w:hAnsi="Times New Roman"/>
        </w:rPr>
        <w:t>%</w:t>
      </w:r>
    </w:p>
    <w:p w14:paraId="72AEBC1D" w14:textId="77777777" w:rsidR="00A848D9" w:rsidRDefault="00A848D9" w:rsidP="007B58FB">
      <w:pPr>
        <w:rPr>
          <w:rFonts w:ascii="Times New Roman" w:hAnsi="Times New Roman"/>
        </w:rPr>
      </w:pPr>
    </w:p>
    <w:p w14:paraId="6B59C30D" w14:textId="3EC0A99E" w:rsidR="007B58FB" w:rsidRPr="007B58FB" w:rsidRDefault="007B58FB" w:rsidP="007B58FB">
      <w:pPr>
        <w:rPr>
          <w:rFonts w:ascii="Times New Roman" w:hAnsi="Times New Roman"/>
        </w:rPr>
      </w:pPr>
      <w:r>
        <w:rPr>
          <w:rFonts w:ascii="Times New Roman" w:hAnsi="Times New Roman"/>
        </w:rPr>
        <w:t>That is, among all the patients who re</w:t>
      </w:r>
      <w:r w:rsidR="0077644D">
        <w:rPr>
          <w:rFonts w:ascii="Times New Roman" w:hAnsi="Times New Roman"/>
        </w:rPr>
        <w:t>ceived an MTX prescription, 60.6</w:t>
      </w:r>
      <w:r>
        <w:rPr>
          <w:rFonts w:ascii="Times New Roman" w:hAnsi="Times New Roman"/>
        </w:rPr>
        <w:t xml:space="preserve">% of them either didn’t initiate MTX within 2 months or discontinued within 12 months of initiation. </w:t>
      </w:r>
    </w:p>
    <w:p w14:paraId="5A31C866" w14:textId="77777777" w:rsidR="007B58FB" w:rsidRDefault="007B58FB" w:rsidP="00657A13">
      <w:pPr>
        <w:pStyle w:val="ListParagraph"/>
        <w:rPr>
          <w:rFonts w:ascii="Times New Roman" w:hAnsi="Times New Roman"/>
        </w:rPr>
      </w:pPr>
    </w:p>
    <w:p w14:paraId="78A41C53" w14:textId="7997B7F0" w:rsidR="00A848D9" w:rsidRDefault="00A848D9" w:rsidP="00A848D9">
      <w:pPr>
        <w:rPr>
          <w:rFonts w:ascii="Times New Roman" w:hAnsi="Times New Roman"/>
          <w:u w:val="single"/>
        </w:rPr>
      </w:pPr>
      <w:r w:rsidRPr="00AE3D63">
        <w:rPr>
          <w:rFonts w:ascii="Times New Roman" w:hAnsi="Times New Roman"/>
          <w:u w:val="single"/>
        </w:rPr>
        <w:t>Biologics/</w:t>
      </w:r>
      <w:proofErr w:type="spellStart"/>
      <w:r w:rsidRPr="00AE3D63">
        <w:rPr>
          <w:rFonts w:ascii="Times New Roman" w:hAnsi="Times New Roman"/>
          <w:u w:val="single"/>
        </w:rPr>
        <w:t>tofacitinib</w:t>
      </w:r>
      <w:proofErr w:type="spellEnd"/>
      <w:r w:rsidR="005F60BF">
        <w:rPr>
          <w:rFonts w:ascii="Times New Roman" w:hAnsi="Times New Roman"/>
          <w:u w:val="single"/>
        </w:rPr>
        <w:t xml:space="preserve"> at 12-15</w:t>
      </w:r>
    </w:p>
    <w:p w14:paraId="40467BCB" w14:textId="77777777" w:rsidR="00A848D9" w:rsidRPr="00AE3D63" w:rsidRDefault="00A848D9" w:rsidP="00A848D9">
      <w:pPr>
        <w:rPr>
          <w:rFonts w:ascii="Times New Roman" w:hAnsi="Times New Roman"/>
          <w:u w:val="single"/>
        </w:rPr>
      </w:pPr>
    </w:p>
    <w:p w14:paraId="7D3F3AAB" w14:textId="7AF70AFA" w:rsidR="00A848D9" w:rsidRDefault="00A848D9" w:rsidP="00A848D9">
      <w:pPr>
        <w:pStyle w:val="ListParagraph"/>
        <w:rPr>
          <w:rFonts w:ascii="Times New Roman" w:hAnsi="Times New Roman"/>
        </w:rPr>
      </w:pPr>
      <w:r w:rsidRPr="007B58FB">
        <w:rPr>
          <w:rFonts w:ascii="Times New Roman" w:hAnsi="Times New Roman"/>
        </w:rPr>
        <w:t xml:space="preserve">Total non-adherence rate </w:t>
      </w:r>
      <w:r>
        <w:rPr>
          <w:rFonts w:ascii="Times New Roman" w:hAnsi="Times New Roman"/>
        </w:rPr>
        <w:t xml:space="preserve">= </w:t>
      </w:r>
      <w:proofErr w:type="gramStart"/>
      <w:r>
        <w:rPr>
          <w:rFonts w:ascii="Times New Roman" w:hAnsi="Times New Roman"/>
        </w:rPr>
        <w:t>39.1</w:t>
      </w:r>
      <w:r w:rsidRPr="007B58FB">
        <w:rPr>
          <w:rFonts w:ascii="Times New Roman" w:hAnsi="Times New Roman"/>
        </w:rPr>
        <w:t>%</w:t>
      </w:r>
      <w:proofErr w:type="gramEnd"/>
      <w:r w:rsidRPr="007B58FB">
        <w:rPr>
          <w:rFonts w:ascii="Times New Roman" w:hAnsi="Times New Roman"/>
        </w:rPr>
        <w:t>+(1-</w:t>
      </w:r>
      <w:r>
        <w:rPr>
          <w:rFonts w:ascii="Times New Roman" w:hAnsi="Times New Roman"/>
        </w:rPr>
        <w:t>39.1</w:t>
      </w:r>
      <w:r w:rsidRPr="007B58FB">
        <w:rPr>
          <w:rFonts w:ascii="Times New Roman" w:hAnsi="Times New Roman"/>
        </w:rPr>
        <w:t>%</w:t>
      </w:r>
      <w:r w:rsidR="0077644D">
        <w:rPr>
          <w:rFonts w:ascii="Times New Roman" w:hAnsi="Times New Roman"/>
        </w:rPr>
        <w:t>)</w:t>
      </w:r>
      <w:r w:rsidR="00330A61">
        <w:rPr>
          <w:rFonts w:ascii="Times New Roman" w:hAnsi="Times New Roman"/>
        </w:rPr>
        <w:t>*35.6</w:t>
      </w:r>
      <w:r w:rsidRPr="007B58FB">
        <w:rPr>
          <w:rFonts w:ascii="Times New Roman" w:hAnsi="Times New Roman"/>
        </w:rPr>
        <w:t>%=</w:t>
      </w:r>
      <w:r>
        <w:rPr>
          <w:rFonts w:ascii="Times New Roman" w:hAnsi="Times New Roman"/>
        </w:rPr>
        <w:t>60.8</w:t>
      </w:r>
      <w:r w:rsidRPr="007B58FB">
        <w:rPr>
          <w:rFonts w:ascii="Times New Roman" w:hAnsi="Times New Roman"/>
        </w:rPr>
        <w:t>%</w:t>
      </w:r>
    </w:p>
    <w:p w14:paraId="3473ABDB" w14:textId="77777777" w:rsidR="00A848D9" w:rsidRDefault="00A848D9" w:rsidP="00A848D9">
      <w:pPr>
        <w:rPr>
          <w:rFonts w:ascii="Times New Roman" w:hAnsi="Times New Roman"/>
        </w:rPr>
      </w:pPr>
    </w:p>
    <w:p w14:paraId="0917D764" w14:textId="450DDF90" w:rsidR="00A848D9" w:rsidRPr="00A848D9" w:rsidRDefault="00A848D9" w:rsidP="00A848D9">
      <w:pPr>
        <w:rPr>
          <w:rFonts w:ascii="Times New Roman" w:hAnsi="Times New Roman"/>
          <w:u w:val="single"/>
        </w:rPr>
      </w:pPr>
      <w:r>
        <w:rPr>
          <w:rFonts w:ascii="Times New Roman" w:hAnsi="Times New Roman"/>
        </w:rPr>
        <w:t xml:space="preserve">That is, among all the patients who </w:t>
      </w:r>
      <w:r w:rsidRPr="005F60BF">
        <w:rPr>
          <w:rFonts w:ascii="Times New Roman" w:hAnsi="Times New Roman"/>
        </w:rPr>
        <w:t>received a biologics/</w:t>
      </w:r>
      <w:proofErr w:type="spellStart"/>
      <w:r w:rsidRPr="005F60BF">
        <w:rPr>
          <w:rFonts w:ascii="Times New Roman" w:hAnsi="Times New Roman"/>
        </w:rPr>
        <w:t>tofacitinib</w:t>
      </w:r>
      <w:proofErr w:type="spellEnd"/>
      <w:r w:rsidRPr="005F60BF">
        <w:rPr>
          <w:rFonts w:ascii="Times New Roman" w:hAnsi="Times New Roman"/>
        </w:rPr>
        <w:t xml:space="preserve"> prescription</w:t>
      </w:r>
      <w:r>
        <w:rPr>
          <w:rFonts w:ascii="Times New Roman" w:hAnsi="Times New Roman"/>
        </w:rPr>
        <w:t xml:space="preserve">, 60.8% of them either didn’t initiate within 3 months or discontinued within 12 months of initiation. </w:t>
      </w:r>
    </w:p>
    <w:p w14:paraId="42E1CBF1" w14:textId="77777777" w:rsidR="007B58FB" w:rsidRPr="00A848D9" w:rsidRDefault="007B58FB" w:rsidP="00A848D9">
      <w:pPr>
        <w:rPr>
          <w:rFonts w:ascii="Times New Roman" w:hAnsi="Times New Roman"/>
        </w:rPr>
      </w:pPr>
    </w:p>
    <w:p w14:paraId="7B089479" w14:textId="77777777" w:rsidR="00CB02E7" w:rsidRDefault="00CB02E7" w:rsidP="00657A13">
      <w:pPr>
        <w:pStyle w:val="ListParagraph"/>
        <w:rPr>
          <w:rFonts w:ascii="Times New Roman" w:hAnsi="Times New Roman"/>
        </w:rPr>
      </w:pPr>
    </w:p>
    <w:p w14:paraId="1334E856" w14:textId="77777777" w:rsidR="00CB02E7" w:rsidRDefault="00CB02E7" w:rsidP="00657A13">
      <w:pPr>
        <w:pStyle w:val="ListParagraph"/>
        <w:rPr>
          <w:rFonts w:ascii="Times New Roman" w:hAnsi="Times New Roman"/>
        </w:rPr>
      </w:pPr>
    </w:p>
    <w:p w14:paraId="6FC1F7E4" w14:textId="77777777" w:rsidR="00CB02E7" w:rsidRDefault="00CB02E7" w:rsidP="00657A13">
      <w:pPr>
        <w:pStyle w:val="ListParagraph"/>
        <w:rPr>
          <w:rFonts w:ascii="Times New Roman" w:hAnsi="Times New Roman"/>
        </w:rPr>
      </w:pPr>
    </w:p>
    <w:p w14:paraId="748BE885" w14:textId="77777777" w:rsidR="00CB02E7" w:rsidRDefault="00CB02E7" w:rsidP="00CB02E7">
      <w:pPr>
        <w:pStyle w:val="HTMLPreformatted"/>
        <w:shd w:val="clear" w:color="auto" w:fill="FFFFFF"/>
        <w:wordWrap w:val="0"/>
        <w:spacing w:line="225" w:lineRule="atLeast"/>
        <w:rPr>
          <w:rFonts w:ascii="Times New Roman" w:hAnsi="Times New Roman"/>
        </w:rPr>
      </w:pPr>
      <w:r>
        <w:rPr>
          <w:rFonts w:ascii="Times New Roman" w:hAnsi="Times New Roman"/>
        </w:rPr>
        <w:t xml:space="preserve">Questions: </w:t>
      </w:r>
    </w:p>
    <w:p w14:paraId="3C74B61F" w14:textId="36643565" w:rsidR="00CB02E7" w:rsidRDefault="00CB02E7" w:rsidP="00CB02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INJECTION      ORAL     SUB-Q      &lt;NA&gt; </w:t>
      </w:r>
    </w:p>
    <w:p w14:paraId="647B983A" w14:textId="77777777" w:rsidR="00CB02E7" w:rsidRDefault="00CB02E7" w:rsidP="00CB02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8970    280479       111         0 </w:t>
      </w:r>
    </w:p>
    <w:p w14:paraId="7F4FDF0F" w14:textId="478D2036" w:rsidR="00CB02E7" w:rsidRPr="007B58FB" w:rsidRDefault="00CB02E7" w:rsidP="00657A13">
      <w:pPr>
        <w:pStyle w:val="ListParagraph"/>
        <w:rPr>
          <w:rFonts w:ascii="Times New Roman" w:hAnsi="Times New Roman"/>
        </w:rPr>
      </w:pPr>
    </w:p>
    <w:sectPr w:rsidR="00CB02E7" w:rsidRPr="007B58FB" w:rsidSect="00253C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D165D" w14:textId="77777777" w:rsidR="00DF1B4E" w:rsidRDefault="00DF1B4E" w:rsidP="001C3D7A">
      <w:r>
        <w:separator/>
      </w:r>
    </w:p>
  </w:endnote>
  <w:endnote w:type="continuationSeparator" w:id="0">
    <w:p w14:paraId="3C56A3D8" w14:textId="77777777" w:rsidR="00DF1B4E" w:rsidRDefault="00DF1B4E" w:rsidP="001C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602047"/>
      <w:docPartObj>
        <w:docPartGallery w:val="Page Numbers (Bottom of Page)"/>
        <w:docPartUnique/>
      </w:docPartObj>
    </w:sdtPr>
    <w:sdtEndPr/>
    <w:sdtContent>
      <w:p w14:paraId="0F4C84EE" w14:textId="77777777" w:rsidR="005C0C0C" w:rsidRDefault="005C0C0C">
        <w:pPr>
          <w:pStyle w:val="Footer"/>
          <w:jc w:val="right"/>
        </w:pPr>
        <w:r>
          <w:fldChar w:fldCharType="begin"/>
        </w:r>
        <w:r>
          <w:instrText xml:space="preserve"> PAGE   \* MERGEFORMAT </w:instrText>
        </w:r>
        <w:r>
          <w:fldChar w:fldCharType="separate"/>
        </w:r>
        <w:r w:rsidR="00477451">
          <w:rPr>
            <w:noProof/>
          </w:rPr>
          <w:t>9</w:t>
        </w:r>
        <w:r>
          <w:rPr>
            <w:noProof/>
          </w:rPr>
          <w:fldChar w:fldCharType="end"/>
        </w:r>
      </w:p>
    </w:sdtContent>
  </w:sdt>
  <w:p w14:paraId="059448F3" w14:textId="77777777" w:rsidR="005C0C0C" w:rsidRDefault="005C0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DC032" w14:textId="77777777" w:rsidR="00DF1B4E" w:rsidRDefault="00DF1B4E" w:rsidP="001C3D7A">
      <w:r>
        <w:separator/>
      </w:r>
    </w:p>
  </w:footnote>
  <w:footnote w:type="continuationSeparator" w:id="0">
    <w:p w14:paraId="27F5092F" w14:textId="77777777" w:rsidR="00DF1B4E" w:rsidRDefault="00DF1B4E" w:rsidP="001C3D7A">
      <w:r>
        <w:continuationSeparator/>
      </w:r>
    </w:p>
  </w:footnote>
  <w:footnote w:id="1">
    <w:p w14:paraId="75FDCF5A" w14:textId="26DF369E" w:rsidR="005C0C0C" w:rsidRPr="006D2B11" w:rsidRDefault="005C0C0C" w:rsidP="0041612F">
      <w:pPr>
        <w:pStyle w:val="NormalWeb"/>
        <w:spacing w:before="0" w:beforeAutospacing="0" w:after="0" w:afterAutospacing="0"/>
        <w:rPr>
          <w:sz w:val="16"/>
          <w:szCs w:val="16"/>
        </w:rPr>
      </w:pPr>
      <w:r w:rsidRPr="006D2B11">
        <w:rPr>
          <w:rStyle w:val="FootnoteReference"/>
          <w:sz w:val="16"/>
          <w:szCs w:val="16"/>
        </w:rPr>
        <w:footnoteRef/>
      </w:r>
      <w:r w:rsidRPr="006D2B11">
        <w:rPr>
          <w:sz w:val="16"/>
          <w:szCs w:val="16"/>
        </w:rPr>
        <w:t xml:space="preserve"> </w:t>
      </w:r>
      <w:hyperlink r:id="rId1" w:history="1">
        <w:r w:rsidRPr="006D2B11">
          <w:rPr>
            <w:color w:val="000000"/>
            <w:sz w:val="16"/>
            <w:szCs w:val="16"/>
          </w:rPr>
          <w:t>http://lab.express-scripts.com/lab/insights/industry-updates/us-rx-spending-increased-13-percent-in-2014</w:t>
        </w:r>
      </w:hyperlink>
    </w:p>
  </w:footnote>
  <w:footnote w:id="2">
    <w:p w14:paraId="2508B36C" w14:textId="77777777" w:rsidR="005C0C0C" w:rsidRPr="007D2644" w:rsidRDefault="005C0C0C" w:rsidP="00267D4F">
      <w:pPr>
        <w:pStyle w:val="FootnoteText"/>
        <w:rPr>
          <w:rFonts w:ascii="Times New Roman" w:hAnsi="Times New Roman"/>
          <w:sz w:val="16"/>
          <w:szCs w:val="16"/>
        </w:rPr>
      </w:pPr>
      <w:r w:rsidRPr="007D2644">
        <w:rPr>
          <w:rStyle w:val="FootnoteReference"/>
          <w:rFonts w:ascii="Times New Roman" w:hAnsi="Times New Roman"/>
          <w:sz w:val="16"/>
          <w:szCs w:val="16"/>
        </w:rPr>
        <w:footnoteRef/>
      </w:r>
      <w:r w:rsidRPr="007D2644">
        <w:rPr>
          <w:rFonts w:ascii="Times New Roman" w:hAnsi="Times New Roman"/>
          <w:sz w:val="16"/>
          <w:szCs w:val="16"/>
        </w:rPr>
        <w:t xml:space="preserve"> We allowed death to occur </w:t>
      </w:r>
      <w:proofErr w:type="spellStart"/>
      <w:r w:rsidRPr="007D2644">
        <w:rPr>
          <w:rFonts w:ascii="Times New Roman" w:hAnsi="Times New Roman"/>
          <w:sz w:val="16"/>
          <w:szCs w:val="16"/>
        </w:rPr>
        <w:t>anytime</w:t>
      </w:r>
      <w:proofErr w:type="spellEnd"/>
      <w:r w:rsidRPr="007D2644">
        <w:rPr>
          <w:rFonts w:ascii="Times New Roman" w:hAnsi="Times New Roman"/>
          <w:sz w:val="16"/>
          <w:szCs w:val="16"/>
        </w:rPr>
        <w:t xml:space="preserve"> after</w:t>
      </w:r>
      <w:r>
        <w:rPr>
          <w:rFonts w:ascii="Times New Roman" w:hAnsi="Times New Roman"/>
          <w:sz w:val="16"/>
          <w:szCs w:val="16"/>
        </w:rPr>
        <w:t xml:space="preserve"> MTX</w:t>
      </w:r>
      <w:r w:rsidRPr="007D2644">
        <w:rPr>
          <w:rFonts w:ascii="Times New Roman" w:hAnsi="Times New Roman"/>
          <w:sz w:val="16"/>
          <w:szCs w:val="16"/>
        </w:rPr>
        <w:t xml:space="preserve"> index date. Theref</w:t>
      </w:r>
      <w:r w:rsidR="00045ACA">
        <w:rPr>
          <w:rFonts w:ascii="Times New Roman" w:hAnsi="Times New Roman"/>
          <w:sz w:val="16"/>
          <w:szCs w:val="16"/>
        </w:rPr>
        <w:t>ore, a patient may die within 3</w:t>
      </w:r>
      <w:r w:rsidRPr="007D2644">
        <w:rPr>
          <w:rFonts w:ascii="Times New Roman" w:hAnsi="Times New Roman"/>
          <w:sz w:val="16"/>
          <w:szCs w:val="16"/>
        </w:rPr>
        <w:t xml:space="preserve"> months of index date, in which case the full medical and pharmacy coverage period may end at the time of death.</w:t>
      </w:r>
    </w:p>
  </w:footnote>
  <w:footnote w:id="3">
    <w:p w14:paraId="59D7F64C" w14:textId="77777777" w:rsidR="00FC32C8" w:rsidRPr="007D2644" w:rsidRDefault="00FC32C8" w:rsidP="00FC32C8">
      <w:pPr>
        <w:pStyle w:val="FootnoteText"/>
        <w:rPr>
          <w:rFonts w:ascii="Times New Roman" w:hAnsi="Times New Roman"/>
          <w:sz w:val="16"/>
          <w:szCs w:val="16"/>
        </w:rPr>
      </w:pPr>
      <w:r w:rsidRPr="007D2644">
        <w:rPr>
          <w:rStyle w:val="FootnoteReference"/>
          <w:rFonts w:ascii="Times New Roman" w:hAnsi="Times New Roman"/>
          <w:sz w:val="16"/>
          <w:szCs w:val="16"/>
        </w:rPr>
        <w:footnoteRef/>
      </w:r>
      <w:r w:rsidRPr="007D2644">
        <w:rPr>
          <w:rFonts w:ascii="Times New Roman" w:hAnsi="Times New Roman"/>
          <w:sz w:val="16"/>
          <w:szCs w:val="16"/>
        </w:rPr>
        <w:t xml:space="preserve"> We allowed death to occur </w:t>
      </w:r>
      <w:proofErr w:type="spellStart"/>
      <w:r w:rsidRPr="007D2644">
        <w:rPr>
          <w:rFonts w:ascii="Times New Roman" w:hAnsi="Times New Roman"/>
          <w:sz w:val="16"/>
          <w:szCs w:val="16"/>
        </w:rPr>
        <w:t>anytime</w:t>
      </w:r>
      <w:proofErr w:type="spellEnd"/>
      <w:r w:rsidRPr="007D2644">
        <w:rPr>
          <w:rFonts w:ascii="Times New Roman" w:hAnsi="Times New Roman"/>
          <w:sz w:val="16"/>
          <w:szCs w:val="16"/>
        </w:rPr>
        <w:t xml:space="preserve"> after</w:t>
      </w:r>
      <w:r>
        <w:rPr>
          <w:rFonts w:ascii="Times New Roman" w:hAnsi="Times New Roman"/>
          <w:sz w:val="16"/>
          <w:szCs w:val="16"/>
        </w:rPr>
        <w:t xml:space="preserve"> MTX</w:t>
      </w:r>
      <w:r w:rsidRPr="007D2644">
        <w:rPr>
          <w:rFonts w:ascii="Times New Roman" w:hAnsi="Times New Roman"/>
          <w:sz w:val="16"/>
          <w:szCs w:val="16"/>
        </w:rPr>
        <w:t xml:space="preserve"> index date. Theref</w:t>
      </w:r>
      <w:r>
        <w:rPr>
          <w:rFonts w:ascii="Times New Roman" w:hAnsi="Times New Roman"/>
          <w:sz w:val="16"/>
          <w:szCs w:val="16"/>
        </w:rPr>
        <w:t>ore, a patient may die within 3</w:t>
      </w:r>
      <w:r w:rsidRPr="007D2644">
        <w:rPr>
          <w:rFonts w:ascii="Times New Roman" w:hAnsi="Times New Roman"/>
          <w:sz w:val="16"/>
          <w:szCs w:val="16"/>
        </w:rPr>
        <w:t xml:space="preserve"> months of index date, in which case the full medical and pharmacy coverage period may end at the time of death.</w:t>
      </w:r>
    </w:p>
  </w:footnote>
  <w:footnote w:id="4">
    <w:p w14:paraId="26A19D33" w14:textId="77777777" w:rsidR="00D509CD" w:rsidRPr="00D509CD" w:rsidRDefault="00D509CD" w:rsidP="00D509CD">
      <w:pPr>
        <w:pStyle w:val="title1"/>
        <w:shd w:val="clear" w:color="auto" w:fill="FFFFFF"/>
        <w:rPr>
          <w:sz w:val="16"/>
          <w:szCs w:val="16"/>
        </w:rPr>
      </w:pPr>
      <w:r w:rsidRPr="00D509CD">
        <w:rPr>
          <w:rStyle w:val="FootnoteReference"/>
          <w:sz w:val="16"/>
          <w:szCs w:val="16"/>
        </w:rPr>
        <w:footnoteRef/>
      </w:r>
      <w:r w:rsidRPr="00D509CD">
        <w:rPr>
          <w:sz w:val="16"/>
          <w:szCs w:val="16"/>
        </w:rPr>
        <w:t xml:space="preserve"> </w:t>
      </w:r>
      <w:hyperlink r:id="rId2" w:history="1">
        <w:r w:rsidRPr="00D509CD">
          <w:rPr>
            <w:sz w:val="16"/>
            <w:szCs w:val="16"/>
            <w:u w:val="single"/>
          </w:rPr>
          <w:t xml:space="preserve">Use of oral and subcutaneous </w:t>
        </w:r>
        <w:r w:rsidRPr="00D509CD">
          <w:rPr>
            <w:bCs/>
            <w:sz w:val="16"/>
            <w:szCs w:val="16"/>
            <w:u w:val="single"/>
          </w:rPr>
          <w:t>methotrexate</w:t>
        </w:r>
        <w:r w:rsidRPr="00D509CD">
          <w:rPr>
            <w:sz w:val="16"/>
            <w:szCs w:val="16"/>
            <w:u w:val="single"/>
          </w:rPr>
          <w:t xml:space="preserve"> in rheumatoid arthritis patients in the United States.</w:t>
        </w:r>
      </w:hyperlink>
      <w:r w:rsidRPr="00D509CD">
        <w:rPr>
          <w:sz w:val="16"/>
          <w:szCs w:val="16"/>
          <w:u w:val="single"/>
        </w:rPr>
        <w:t xml:space="preserve"> </w:t>
      </w:r>
      <w:r w:rsidRPr="00D509CD">
        <w:rPr>
          <w:bCs/>
          <w:sz w:val="16"/>
          <w:szCs w:val="16"/>
        </w:rPr>
        <w:t>Curtis JR</w:t>
      </w:r>
      <w:r w:rsidRPr="00D509CD">
        <w:rPr>
          <w:sz w:val="16"/>
          <w:szCs w:val="16"/>
        </w:rPr>
        <w:t xml:space="preserve">, Zhang J, </w:t>
      </w:r>
      <w:proofErr w:type="spellStart"/>
      <w:r w:rsidRPr="00D509CD">
        <w:rPr>
          <w:sz w:val="16"/>
          <w:szCs w:val="16"/>
        </w:rPr>
        <w:t>Xie</w:t>
      </w:r>
      <w:proofErr w:type="spellEnd"/>
      <w:r w:rsidRPr="00D509CD">
        <w:rPr>
          <w:sz w:val="16"/>
          <w:szCs w:val="16"/>
        </w:rPr>
        <w:t xml:space="preserve"> F, </w:t>
      </w:r>
      <w:proofErr w:type="spellStart"/>
      <w:r w:rsidRPr="00D509CD">
        <w:rPr>
          <w:sz w:val="16"/>
          <w:szCs w:val="16"/>
        </w:rPr>
        <w:t>Beukelman</w:t>
      </w:r>
      <w:proofErr w:type="spellEnd"/>
      <w:r w:rsidRPr="00D509CD">
        <w:rPr>
          <w:sz w:val="16"/>
          <w:szCs w:val="16"/>
        </w:rPr>
        <w:t xml:space="preserve"> T, Chen L, </w:t>
      </w:r>
      <w:proofErr w:type="spellStart"/>
      <w:r w:rsidRPr="00D509CD">
        <w:rPr>
          <w:sz w:val="16"/>
          <w:szCs w:val="16"/>
        </w:rPr>
        <w:t>Fernandes</w:t>
      </w:r>
      <w:proofErr w:type="spellEnd"/>
      <w:r w:rsidRPr="00D509CD">
        <w:rPr>
          <w:sz w:val="16"/>
          <w:szCs w:val="16"/>
        </w:rPr>
        <w:t xml:space="preserve"> J, Ginsberg S, </w:t>
      </w:r>
      <w:proofErr w:type="spellStart"/>
      <w:r w:rsidRPr="00D509CD">
        <w:rPr>
          <w:sz w:val="16"/>
          <w:szCs w:val="16"/>
        </w:rPr>
        <w:t>Spettell</w:t>
      </w:r>
      <w:proofErr w:type="spellEnd"/>
      <w:r w:rsidRPr="00D509CD">
        <w:rPr>
          <w:sz w:val="16"/>
          <w:szCs w:val="16"/>
        </w:rPr>
        <w:t xml:space="preserve"> C, Yun H, </w:t>
      </w:r>
      <w:proofErr w:type="spellStart"/>
      <w:r w:rsidRPr="00D509CD">
        <w:rPr>
          <w:sz w:val="16"/>
          <w:szCs w:val="16"/>
        </w:rPr>
        <w:t>Saag</w:t>
      </w:r>
      <w:proofErr w:type="spellEnd"/>
      <w:r w:rsidRPr="00D509CD">
        <w:rPr>
          <w:sz w:val="16"/>
          <w:szCs w:val="16"/>
        </w:rPr>
        <w:t xml:space="preserve"> KG, Schiff M.</w:t>
      </w:r>
      <w:r>
        <w:rPr>
          <w:sz w:val="16"/>
          <w:szCs w:val="16"/>
        </w:rPr>
        <w:t xml:space="preserve"> </w:t>
      </w:r>
      <w:r w:rsidRPr="00D509CD">
        <w:rPr>
          <w:sz w:val="16"/>
          <w:szCs w:val="16"/>
        </w:rPr>
        <w:t>Arthritis Care Res (Hoboken). 2014 Nov</w:t>
      </w:r>
      <w:proofErr w:type="gramStart"/>
      <w:r w:rsidRPr="00D509CD">
        <w:rPr>
          <w:sz w:val="16"/>
          <w:szCs w:val="16"/>
        </w:rPr>
        <w:t>;66</w:t>
      </w:r>
      <w:proofErr w:type="gramEnd"/>
      <w:r w:rsidRPr="00D509CD">
        <w:rPr>
          <w:sz w:val="16"/>
          <w:szCs w:val="16"/>
        </w:rPr>
        <w:t>(11):1604-11.</w:t>
      </w:r>
    </w:p>
  </w:footnote>
  <w:footnote w:id="5">
    <w:p w14:paraId="24BCD00C" w14:textId="3874007E" w:rsidR="00F84318" w:rsidRDefault="00F84318">
      <w:pPr>
        <w:pStyle w:val="FootnoteText"/>
      </w:pPr>
      <w:r w:rsidRPr="00F84318">
        <w:rPr>
          <w:rStyle w:val="FootnoteReference"/>
          <w:sz w:val="16"/>
          <w:szCs w:val="16"/>
        </w:rPr>
        <w:footnoteRef/>
      </w:r>
      <w:r w:rsidRPr="00F84318">
        <w:rPr>
          <w:sz w:val="16"/>
          <w:szCs w:val="16"/>
        </w:rPr>
        <w:t xml:space="preserve"> </w:t>
      </w:r>
      <w:r w:rsidRPr="00F84318">
        <w:rPr>
          <w:rFonts w:ascii="Times New Roman" w:hAnsi="Times New Roman"/>
          <w:sz w:val="16"/>
          <w:szCs w:val="16"/>
        </w:rPr>
        <w:t xml:space="preserve">Anderson J1, Caplan L, </w:t>
      </w:r>
      <w:proofErr w:type="spellStart"/>
      <w:r w:rsidRPr="00F84318">
        <w:rPr>
          <w:rFonts w:ascii="Times New Roman" w:hAnsi="Times New Roman"/>
          <w:sz w:val="16"/>
          <w:szCs w:val="16"/>
        </w:rPr>
        <w:t>Yazdany</w:t>
      </w:r>
      <w:proofErr w:type="spellEnd"/>
      <w:r w:rsidRPr="00F84318">
        <w:rPr>
          <w:rFonts w:ascii="Times New Roman" w:hAnsi="Times New Roman"/>
          <w:sz w:val="16"/>
          <w:szCs w:val="16"/>
        </w:rPr>
        <w:t xml:space="preserve"> J, Robbins ML, </w:t>
      </w:r>
      <w:proofErr w:type="spellStart"/>
      <w:r w:rsidRPr="00F84318">
        <w:rPr>
          <w:rFonts w:ascii="Times New Roman" w:hAnsi="Times New Roman"/>
          <w:sz w:val="16"/>
          <w:szCs w:val="16"/>
        </w:rPr>
        <w:t>Neogi</w:t>
      </w:r>
      <w:proofErr w:type="spellEnd"/>
      <w:r w:rsidRPr="00F84318">
        <w:rPr>
          <w:rFonts w:ascii="Times New Roman" w:hAnsi="Times New Roman"/>
          <w:sz w:val="16"/>
          <w:szCs w:val="16"/>
        </w:rPr>
        <w:t xml:space="preserve"> T, Michaud K, </w:t>
      </w:r>
      <w:proofErr w:type="spellStart"/>
      <w:r w:rsidRPr="00F84318">
        <w:rPr>
          <w:rFonts w:ascii="Times New Roman" w:hAnsi="Times New Roman"/>
          <w:sz w:val="16"/>
          <w:szCs w:val="16"/>
        </w:rPr>
        <w:t>Saag</w:t>
      </w:r>
      <w:proofErr w:type="spellEnd"/>
      <w:r w:rsidRPr="00F84318">
        <w:rPr>
          <w:rFonts w:ascii="Times New Roman" w:hAnsi="Times New Roman"/>
          <w:sz w:val="16"/>
          <w:szCs w:val="16"/>
        </w:rPr>
        <w:t xml:space="preserve"> KG, O'Dell JR, </w:t>
      </w:r>
      <w:proofErr w:type="spellStart"/>
      <w:r w:rsidRPr="00F84318">
        <w:rPr>
          <w:rFonts w:ascii="Times New Roman" w:hAnsi="Times New Roman"/>
          <w:sz w:val="16"/>
          <w:szCs w:val="16"/>
        </w:rPr>
        <w:t>Kazi</w:t>
      </w:r>
      <w:proofErr w:type="spellEnd"/>
      <w:r w:rsidRPr="00F84318">
        <w:rPr>
          <w:rFonts w:ascii="Times New Roman" w:hAnsi="Times New Roman"/>
          <w:sz w:val="16"/>
          <w:szCs w:val="16"/>
        </w:rPr>
        <w:t xml:space="preserve"> S. Rheumatoid arthritis disease activity measures: American</w:t>
      </w:r>
      <w:r>
        <w:rPr>
          <w:rFonts w:ascii="Times New Roman" w:hAnsi="Times New Roman"/>
          <w:sz w:val="16"/>
          <w:szCs w:val="16"/>
        </w:rPr>
        <w:t xml:space="preserve"> College of Rheumatology recommendations for use in clinical practice. Arthritis Care Res (Hoboken). 2012 May</w:t>
      </w:r>
      <w:proofErr w:type="gramStart"/>
      <w:r>
        <w:rPr>
          <w:rFonts w:ascii="Times New Roman" w:hAnsi="Times New Roman"/>
          <w:sz w:val="16"/>
          <w:szCs w:val="16"/>
        </w:rPr>
        <w:t>;64</w:t>
      </w:r>
      <w:proofErr w:type="gramEnd"/>
      <w:r>
        <w:rPr>
          <w:rFonts w:ascii="Times New Roman" w:hAnsi="Times New Roman"/>
          <w:sz w:val="16"/>
          <w:szCs w:val="16"/>
        </w:rPr>
        <w:t xml:space="preserve">(5):640-7. </w:t>
      </w:r>
      <w:proofErr w:type="spellStart"/>
      <w:proofErr w:type="gramStart"/>
      <w:r>
        <w:rPr>
          <w:rFonts w:ascii="Times New Roman" w:hAnsi="Times New Roman"/>
          <w:sz w:val="16"/>
          <w:szCs w:val="16"/>
        </w:rPr>
        <w:t>doi</w:t>
      </w:r>
      <w:proofErr w:type="spellEnd"/>
      <w:proofErr w:type="gramEnd"/>
      <w:r>
        <w:rPr>
          <w:rFonts w:ascii="Times New Roman" w:hAnsi="Times New Roman"/>
          <w:sz w:val="16"/>
          <w:szCs w:val="16"/>
        </w:rPr>
        <w:t>: 10.1002/acr.21649.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13D1A"/>
    <w:multiLevelType w:val="hybridMultilevel"/>
    <w:tmpl w:val="C1CAED42"/>
    <w:lvl w:ilvl="0" w:tplc="E1BA2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D69B6"/>
    <w:multiLevelType w:val="hybridMultilevel"/>
    <w:tmpl w:val="2510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F39FE"/>
    <w:multiLevelType w:val="hybridMultilevel"/>
    <w:tmpl w:val="281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93CCC"/>
    <w:multiLevelType w:val="hybridMultilevel"/>
    <w:tmpl w:val="74CC2E5E"/>
    <w:lvl w:ilvl="0" w:tplc="8B5E3C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C0617"/>
    <w:multiLevelType w:val="multilevel"/>
    <w:tmpl w:val="C172C1D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9453F"/>
    <w:multiLevelType w:val="hybridMultilevel"/>
    <w:tmpl w:val="8FB6C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C33373"/>
    <w:multiLevelType w:val="hybridMultilevel"/>
    <w:tmpl w:val="369688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60008"/>
    <w:multiLevelType w:val="hybridMultilevel"/>
    <w:tmpl w:val="BE4E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93252"/>
    <w:multiLevelType w:val="hybridMultilevel"/>
    <w:tmpl w:val="9600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C16D3"/>
    <w:multiLevelType w:val="hybridMultilevel"/>
    <w:tmpl w:val="369688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108E7"/>
    <w:multiLevelType w:val="hybridMultilevel"/>
    <w:tmpl w:val="F2C4E56C"/>
    <w:lvl w:ilvl="0" w:tplc="44FE35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66F23"/>
    <w:multiLevelType w:val="multilevel"/>
    <w:tmpl w:val="E2C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04E5D"/>
    <w:multiLevelType w:val="multilevel"/>
    <w:tmpl w:val="354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F0CEB"/>
    <w:multiLevelType w:val="hybridMultilevel"/>
    <w:tmpl w:val="7C22A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B4FFE"/>
    <w:multiLevelType w:val="hybridMultilevel"/>
    <w:tmpl w:val="4FAE49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882654E"/>
    <w:multiLevelType w:val="hybridMultilevel"/>
    <w:tmpl w:val="625A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5554B"/>
    <w:multiLevelType w:val="hybridMultilevel"/>
    <w:tmpl w:val="38E89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D74C9"/>
    <w:multiLevelType w:val="hybridMultilevel"/>
    <w:tmpl w:val="79FE9E04"/>
    <w:lvl w:ilvl="0" w:tplc="3FE24A14">
      <w:start w:val="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4"/>
  </w:num>
  <w:num w:numId="3">
    <w:abstractNumId w:val="11"/>
  </w:num>
  <w:num w:numId="4">
    <w:abstractNumId w:val="16"/>
  </w:num>
  <w:num w:numId="5">
    <w:abstractNumId w:val="15"/>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1"/>
  </w:num>
  <w:num w:numId="10">
    <w:abstractNumId w:val="7"/>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7A"/>
    <w:rsid w:val="00007D0D"/>
    <w:rsid w:val="0002098C"/>
    <w:rsid w:val="00045ACA"/>
    <w:rsid w:val="000466E9"/>
    <w:rsid w:val="00051AF8"/>
    <w:rsid w:val="00057F9E"/>
    <w:rsid w:val="0007528C"/>
    <w:rsid w:val="00095F20"/>
    <w:rsid w:val="00096AB4"/>
    <w:rsid w:val="000C562A"/>
    <w:rsid w:val="000D1663"/>
    <w:rsid w:val="000D6DD3"/>
    <w:rsid w:val="000E6738"/>
    <w:rsid w:val="00110077"/>
    <w:rsid w:val="00120BAF"/>
    <w:rsid w:val="00127389"/>
    <w:rsid w:val="001446B3"/>
    <w:rsid w:val="001536B7"/>
    <w:rsid w:val="00154D60"/>
    <w:rsid w:val="0016454E"/>
    <w:rsid w:val="00170AD7"/>
    <w:rsid w:val="001722D7"/>
    <w:rsid w:val="00180F11"/>
    <w:rsid w:val="00184132"/>
    <w:rsid w:val="00195B9C"/>
    <w:rsid w:val="001B2ED2"/>
    <w:rsid w:val="001B717B"/>
    <w:rsid w:val="001C3D7A"/>
    <w:rsid w:val="001E192D"/>
    <w:rsid w:val="001E2521"/>
    <w:rsid w:val="001E5765"/>
    <w:rsid w:val="001F453C"/>
    <w:rsid w:val="002026DC"/>
    <w:rsid w:val="00202F36"/>
    <w:rsid w:val="0020567A"/>
    <w:rsid w:val="00205E54"/>
    <w:rsid w:val="00230CE1"/>
    <w:rsid w:val="0023532A"/>
    <w:rsid w:val="00237606"/>
    <w:rsid w:val="00237EAE"/>
    <w:rsid w:val="002442D8"/>
    <w:rsid w:val="002528FE"/>
    <w:rsid w:val="00253CAE"/>
    <w:rsid w:val="0025655E"/>
    <w:rsid w:val="00262350"/>
    <w:rsid w:val="002634AF"/>
    <w:rsid w:val="00267D4F"/>
    <w:rsid w:val="002B7120"/>
    <w:rsid w:val="002C0D4E"/>
    <w:rsid w:val="002E33C2"/>
    <w:rsid w:val="002F6C2A"/>
    <w:rsid w:val="00302E39"/>
    <w:rsid w:val="00313DE8"/>
    <w:rsid w:val="00322026"/>
    <w:rsid w:val="00330A61"/>
    <w:rsid w:val="0034416A"/>
    <w:rsid w:val="00346BF4"/>
    <w:rsid w:val="00360612"/>
    <w:rsid w:val="0036463E"/>
    <w:rsid w:val="0036720C"/>
    <w:rsid w:val="00372C0A"/>
    <w:rsid w:val="00376627"/>
    <w:rsid w:val="0037788C"/>
    <w:rsid w:val="00390F29"/>
    <w:rsid w:val="00395221"/>
    <w:rsid w:val="003B09DB"/>
    <w:rsid w:val="003C0C3C"/>
    <w:rsid w:val="003E4BDA"/>
    <w:rsid w:val="003F06DE"/>
    <w:rsid w:val="00407F9D"/>
    <w:rsid w:val="0041612F"/>
    <w:rsid w:val="00420FF8"/>
    <w:rsid w:val="00443951"/>
    <w:rsid w:val="0044460A"/>
    <w:rsid w:val="00446A52"/>
    <w:rsid w:val="0047088E"/>
    <w:rsid w:val="00477451"/>
    <w:rsid w:val="00481FD3"/>
    <w:rsid w:val="00485D29"/>
    <w:rsid w:val="00485FC5"/>
    <w:rsid w:val="004A4F94"/>
    <w:rsid w:val="004A6745"/>
    <w:rsid w:val="004A7703"/>
    <w:rsid w:val="00504816"/>
    <w:rsid w:val="00505A2A"/>
    <w:rsid w:val="005217C2"/>
    <w:rsid w:val="00526903"/>
    <w:rsid w:val="005667EB"/>
    <w:rsid w:val="00592F95"/>
    <w:rsid w:val="00595765"/>
    <w:rsid w:val="005B02A0"/>
    <w:rsid w:val="005B4183"/>
    <w:rsid w:val="005C0C0C"/>
    <w:rsid w:val="005C4D16"/>
    <w:rsid w:val="005D1D3D"/>
    <w:rsid w:val="005D4D02"/>
    <w:rsid w:val="005D63FE"/>
    <w:rsid w:val="005E2E03"/>
    <w:rsid w:val="005F60BF"/>
    <w:rsid w:val="006056F5"/>
    <w:rsid w:val="00616CC0"/>
    <w:rsid w:val="00626CAB"/>
    <w:rsid w:val="006442B4"/>
    <w:rsid w:val="00645ADC"/>
    <w:rsid w:val="00652B52"/>
    <w:rsid w:val="00657A13"/>
    <w:rsid w:val="00662572"/>
    <w:rsid w:val="006636D3"/>
    <w:rsid w:val="006869AB"/>
    <w:rsid w:val="00687A10"/>
    <w:rsid w:val="00694A0E"/>
    <w:rsid w:val="006C179D"/>
    <w:rsid w:val="006C1D3C"/>
    <w:rsid w:val="006C4038"/>
    <w:rsid w:val="006D21B2"/>
    <w:rsid w:val="006D2B11"/>
    <w:rsid w:val="006E191A"/>
    <w:rsid w:val="006F224A"/>
    <w:rsid w:val="006F39D7"/>
    <w:rsid w:val="006F47D9"/>
    <w:rsid w:val="0071464D"/>
    <w:rsid w:val="007157A4"/>
    <w:rsid w:val="0073145A"/>
    <w:rsid w:val="007370E6"/>
    <w:rsid w:val="0074731C"/>
    <w:rsid w:val="00753731"/>
    <w:rsid w:val="00773430"/>
    <w:rsid w:val="0077644D"/>
    <w:rsid w:val="007966B2"/>
    <w:rsid w:val="007A0029"/>
    <w:rsid w:val="007B0884"/>
    <w:rsid w:val="007B58FB"/>
    <w:rsid w:val="007C0F85"/>
    <w:rsid w:val="007C7E37"/>
    <w:rsid w:val="007D163D"/>
    <w:rsid w:val="007E7287"/>
    <w:rsid w:val="0082417E"/>
    <w:rsid w:val="00830F4F"/>
    <w:rsid w:val="008455A3"/>
    <w:rsid w:val="008536AB"/>
    <w:rsid w:val="00882100"/>
    <w:rsid w:val="00887A74"/>
    <w:rsid w:val="008A11A2"/>
    <w:rsid w:val="008A11CF"/>
    <w:rsid w:val="008A29F4"/>
    <w:rsid w:val="008A3820"/>
    <w:rsid w:val="008B0846"/>
    <w:rsid w:val="008B25C0"/>
    <w:rsid w:val="008B2E99"/>
    <w:rsid w:val="008B4C27"/>
    <w:rsid w:val="008B6A13"/>
    <w:rsid w:val="008C31BA"/>
    <w:rsid w:val="008C5C71"/>
    <w:rsid w:val="008E0EDD"/>
    <w:rsid w:val="008F4346"/>
    <w:rsid w:val="00903EAE"/>
    <w:rsid w:val="009226E6"/>
    <w:rsid w:val="009261E2"/>
    <w:rsid w:val="0094027A"/>
    <w:rsid w:val="00943324"/>
    <w:rsid w:val="00946FC3"/>
    <w:rsid w:val="0097648B"/>
    <w:rsid w:val="00977829"/>
    <w:rsid w:val="0097786F"/>
    <w:rsid w:val="00981898"/>
    <w:rsid w:val="009838C0"/>
    <w:rsid w:val="009D3BD3"/>
    <w:rsid w:val="009D3FDF"/>
    <w:rsid w:val="00A108B9"/>
    <w:rsid w:val="00A20283"/>
    <w:rsid w:val="00A35BD7"/>
    <w:rsid w:val="00A424E8"/>
    <w:rsid w:val="00A7005A"/>
    <w:rsid w:val="00A75B80"/>
    <w:rsid w:val="00A83861"/>
    <w:rsid w:val="00A83D24"/>
    <w:rsid w:val="00A848D9"/>
    <w:rsid w:val="00A8789C"/>
    <w:rsid w:val="00A95ED7"/>
    <w:rsid w:val="00AA7847"/>
    <w:rsid w:val="00AE1D8B"/>
    <w:rsid w:val="00AE3D63"/>
    <w:rsid w:val="00AE4E04"/>
    <w:rsid w:val="00AE68BF"/>
    <w:rsid w:val="00AF06F9"/>
    <w:rsid w:val="00B00BF8"/>
    <w:rsid w:val="00B1068A"/>
    <w:rsid w:val="00B3739A"/>
    <w:rsid w:val="00B6078C"/>
    <w:rsid w:val="00B648F2"/>
    <w:rsid w:val="00B849C8"/>
    <w:rsid w:val="00B86B1F"/>
    <w:rsid w:val="00B906D1"/>
    <w:rsid w:val="00B906D6"/>
    <w:rsid w:val="00B925D3"/>
    <w:rsid w:val="00B92FAD"/>
    <w:rsid w:val="00BA04B9"/>
    <w:rsid w:val="00BA2B1A"/>
    <w:rsid w:val="00BA3DAA"/>
    <w:rsid w:val="00BB45D9"/>
    <w:rsid w:val="00BC2422"/>
    <w:rsid w:val="00BC36FF"/>
    <w:rsid w:val="00BC415F"/>
    <w:rsid w:val="00BD7784"/>
    <w:rsid w:val="00BE20D3"/>
    <w:rsid w:val="00C34C29"/>
    <w:rsid w:val="00C576DF"/>
    <w:rsid w:val="00C80EAC"/>
    <w:rsid w:val="00C91DDF"/>
    <w:rsid w:val="00CA688A"/>
    <w:rsid w:val="00CB02E7"/>
    <w:rsid w:val="00CB63EF"/>
    <w:rsid w:val="00CF790A"/>
    <w:rsid w:val="00D01F4B"/>
    <w:rsid w:val="00D06D6E"/>
    <w:rsid w:val="00D2125F"/>
    <w:rsid w:val="00D253E0"/>
    <w:rsid w:val="00D4537E"/>
    <w:rsid w:val="00D509CD"/>
    <w:rsid w:val="00D5447A"/>
    <w:rsid w:val="00D70FCE"/>
    <w:rsid w:val="00D73353"/>
    <w:rsid w:val="00D7344D"/>
    <w:rsid w:val="00D82C8C"/>
    <w:rsid w:val="00D87B45"/>
    <w:rsid w:val="00DA22DF"/>
    <w:rsid w:val="00DA248B"/>
    <w:rsid w:val="00DC2F00"/>
    <w:rsid w:val="00DC4B5A"/>
    <w:rsid w:val="00DD11E6"/>
    <w:rsid w:val="00DD77A4"/>
    <w:rsid w:val="00DE28CF"/>
    <w:rsid w:val="00DF0188"/>
    <w:rsid w:val="00DF1B4E"/>
    <w:rsid w:val="00DF3BEB"/>
    <w:rsid w:val="00E00C09"/>
    <w:rsid w:val="00E02B9B"/>
    <w:rsid w:val="00E205D1"/>
    <w:rsid w:val="00E2551C"/>
    <w:rsid w:val="00E476DC"/>
    <w:rsid w:val="00E70D30"/>
    <w:rsid w:val="00E70DA4"/>
    <w:rsid w:val="00EA27E2"/>
    <w:rsid w:val="00EA3688"/>
    <w:rsid w:val="00EB27DC"/>
    <w:rsid w:val="00EB620F"/>
    <w:rsid w:val="00EB7216"/>
    <w:rsid w:val="00EC08FD"/>
    <w:rsid w:val="00EC4B78"/>
    <w:rsid w:val="00EC5C7B"/>
    <w:rsid w:val="00EE4A70"/>
    <w:rsid w:val="00EE54EF"/>
    <w:rsid w:val="00EF102C"/>
    <w:rsid w:val="00F06908"/>
    <w:rsid w:val="00F142D1"/>
    <w:rsid w:val="00F273E3"/>
    <w:rsid w:val="00F70C1B"/>
    <w:rsid w:val="00F84318"/>
    <w:rsid w:val="00F9266A"/>
    <w:rsid w:val="00F927B3"/>
    <w:rsid w:val="00FA749E"/>
    <w:rsid w:val="00FB2EB5"/>
    <w:rsid w:val="00FC32C8"/>
    <w:rsid w:val="00FC63B2"/>
    <w:rsid w:val="00FF2911"/>
    <w:rsid w:val="00FF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83530"/>
  <w15:docId w15:val="{48DD6C85-8B01-456D-8DB9-DF50173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A0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D7A"/>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unhideWhenUsed/>
    <w:rsid w:val="001C3D7A"/>
    <w:rPr>
      <w:sz w:val="20"/>
      <w:szCs w:val="20"/>
    </w:rPr>
  </w:style>
  <w:style w:type="character" w:customStyle="1" w:styleId="FootnoteTextChar">
    <w:name w:val="Footnote Text Char"/>
    <w:basedOn w:val="DefaultParagraphFont"/>
    <w:link w:val="FootnoteText"/>
    <w:uiPriority w:val="99"/>
    <w:rsid w:val="001C3D7A"/>
    <w:rPr>
      <w:sz w:val="20"/>
      <w:szCs w:val="20"/>
    </w:rPr>
  </w:style>
  <w:style w:type="character" w:styleId="FootnoteReference">
    <w:name w:val="footnote reference"/>
    <w:basedOn w:val="DefaultParagraphFont"/>
    <w:uiPriority w:val="99"/>
    <w:semiHidden/>
    <w:unhideWhenUsed/>
    <w:rsid w:val="001C3D7A"/>
    <w:rPr>
      <w:vertAlign w:val="superscript"/>
    </w:rPr>
  </w:style>
  <w:style w:type="character" w:styleId="Hyperlink">
    <w:name w:val="Hyperlink"/>
    <w:basedOn w:val="DefaultParagraphFont"/>
    <w:uiPriority w:val="99"/>
    <w:semiHidden/>
    <w:unhideWhenUsed/>
    <w:rsid w:val="001C3D7A"/>
    <w:rPr>
      <w:color w:val="0000FF"/>
      <w:u w:val="single"/>
    </w:rPr>
  </w:style>
  <w:style w:type="character" w:customStyle="1" w:styleId="element-citation">
    <w:name w:val="element-citation"/>
    <w:basedOn w:val="DefaultParagraphFont"/>
    <w:rsid w:val="007C0F85"/>
  </w:style>
  <w:style w:type="character" w:customStyle="1" w:styleId="ref-journal">
    <w:name w:val="ref-journal"/>
    <w:basedOn w:val="DefaultParagraphFont"/>
    <w:rsid w:val="007C0F85"/>
  </w:style>
  <w:style w:type="character" w:customStyle="1" w:styleId="ref-vol">
    <w:name w:val="ref-vol"/>
    <w:basedOn w:val="DefaultParagraphFont"/>
    <w:rsid w:val="007C0F85"/>
  </w:style>
  <w:style w:type="paragraph" w:styleId="ListParagraph">
    <w:name w:val="List Paragraph"/>
    <w:basedOn w:val="Normal"/>
    <w:uiPriority w:val="34"/>
    <w:qFormat/>
    <w:rsid w:val="00D2125F"/>
    <w:pPr>
      <w:ind w:left="720"/>
      <w:contextualSpacing/>
    </w:pPr>
  </w:style>
  <w:style w:type="paragraph" w:styleId="Header">
    <w:name w:val="header"/>
    <w:basedOn w:val="Normal"/>
    <w:link w:val="HeaderChar"/>
    <w:uiPriority w:val="99"/>
    <w:unhideWhenUsed/>
    <w:rsid w:val="00F9266A"/>
    <w:pPr>
      <w:tabs>
        <w:tab w:val="center" w:pos="4680"/>
        <w:tab w:val="right" w:pos="9360"/>
      </w:tabs>
    </w:pPr>
  </w:style>
  <w:style w:type="character" w:customStyle="1" w:styleId="HeaderChar">
    <w:name w:val="Header Char"/>
    <w:basedOn w:val="DefaultParagraphFont"/>
    <w:link w:val="Header"/>
    <w:uiPriority w:val="99"/>
    <w:rsid w:val="00F9266A"/>
  </w:style>
  <w:style w:type="paragraph" w:styleId="Footer">
    <w:name w:val="footer"/>
    <w:basedOn w:val="Normal"/>
    <w:link w:val="FooterChar"/>
    <w:uiPriority w:val="99"/>
    <w:unhideWhenUsed/>
    <w:rsid w:val="00F9266A"/>
    <w:pPr>
      <w:tabs>
        <w:tab w:val="center" w:pos="4680"/>
        <w:tab w:val="right" w:pos="9360"/>
      </w:tabs>
    </w:pPr>
  </w:style>
  <w:style w:type="character" w:customStyle="1" w:styleId="FooterChar">
    <w:name w:val="Footer Char"/>
    <w:basedOn w:val="DefaultParagraphFont"/>
    <w:link w:val="Footer"/>
    <w:uiPriority w:val="99"/>
    <w:rsid w:val="00F9266A"/>
  </w:style>
  <w:style w:type="character" w:styleId="CommentReference">
    <w:name w:val="annotation reference"/>
    <w:basedOn w:val="DefaultParagraphFont"/>
    <w:uiPriority w:val="99"/>
    <w:semiHidden/>
    <w:unhideWhenUsed/>
    <w:rsid w:val="00A20283"/>
    <w:rPr>
      <w:sz w:val="18"/>
      <w:szCs w:val="18"/>
    </w:rPr>
  </w:style>
  <w:style w:type="paragraph" w:styleId="CommentText">
    <w:name w:val="annotation text"/>
    <w:basedOn w:val="Normal"/>
    <w:link w:val="CommentTextChar"/>
    <w:uiPriority w:val="99"/>
    <w:semiHidden/>
    <w:unhideWhenUsed/>
    <w:rsid w:val="00A20283"/>
    <w:rPr>
      <w:sz w:val="24"/>
      <w:szCs w:val="24"/>
    </w:rPr>
  </w:style>
  <w:style w:type="character" w:customStyle="1" w:styleId="CommentTextChar">
    <w:name w:val="Comment Text Char"/>
    <w:basedOn w:val="DefaultParagraphFont"/>
    <w:link w:val="CommentText"/>
    <w:uiPriority w:val="99"/>
    <w:semiHidden/>
    <w:rsid w:val="00A20283"/>
    <w:rPr>
      <w:sz w:val="24"/>
      <w:szCs w:val="24"/>
    </w:rPr>
  </w:style>
  <w:style w:type="paragraph" w:styleId="CommentSubject">
    <w:name w:val="annotation subject"/>
    <w:basedOn w:val="CommentText"/>
    <w:next w:val="CommentText"/>
    <w:link w:val="CommentSubjectChar"/>
    <w:uiPriority w:val="99"/>
    <w:semiHidden/>
    <w:unhideWhenUsed/>
    <w:rsid w:val="00A20283"/>
    <w:rPr>
      <w:b/>
      <w:bCs/>
      <w:sz w:val="20"/>
      <w:szCs w:val="20"/>
    </w:rPr>
  </w:style>
  <w:style w:type="character" w:customStyle="1" w:styleId="CommentSubjectChar">
    <w:name w:val="Comment Subject Char"/>
    <w:basedOn w:val="CommentTextChar"/>
    <w:link w:val="CommentSubject"/>
    <w:uiPriority w:val="99"/>
    <w:semiHidden/>
    <w:rsid w:val="00A20283"/>
    <w:rPr>
      <w:b/>
      <w:bCs/>
      <w:sz w:val="20"/>
      <w:szCs w:val="20"/>
    </w:rPr>
  </w:style>
  <w:style w:type="paragraph" w:styleId="BalloonText">
    <w:name w:val="Balloon Text"/>
    <w:basedOn w:val="Normal"/>
    <w:link w:val="BalloonTextChar"/>
    <w:uiPriority w:val="99"/>
    <w:semiHidden/>
    <w:unhideWhenUsed/>
    <w:rsid w:val="00A2028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0283"/>
    <w:rPr>
      <w:rFonts w:ascii="Lucida Grande" w:hAnsi="Lucida Grande"/>
      <w:sz w:val="18"/>
      <w:szCs w:val="18"/>
    </w:rPr>
  </w:style>
  <w:style w:type="paragraph" w:customStyle="1" w:styleId="title1">
    <w:name w:val="title1"/>
    <w:basedOn w:val="Normal"/>
    <w:rsid w:val="00485D29"/>
    <w:rPr>
      <w:rFonts w:ascii="Times New Roman" w:eastAsia="Times New Roman" w:hAnsi="Times New Roman"/>
      <w:sz w:val="27"/>
      <w:szCs w:val="27"/>
    </w:rPr>
  </w:style>
  <w:style w:type="paragraph" w:customStyle="1" w:styleId="desc2">
    <w:name w:val="desc2"/>
    <w:basedOn w:val="Normal"/>
    <w:rsid w:val="00485D29"/>
    <w:rPr>
      <w:rFonts w:ascii="Times New Roman" w:eastAsia="Times New Roman" w:hAnsi="Times New Roman"/>
      <w:sz w:val="26"/>
      <w:szCs w:val="26"/>
    </w:rPr>
  </w:style>
  <w:style w:type="paragraph" w:customStyle="1" w:styleId="details1">
    <w:name w:val="details1"/>
    <w:basedOn w:val="Normal"/>
    <w:rsid w:val="00485D29"/>
    <w:rPr>
      <w:rFonts w:ascii="Times New Roman" w:eastAsia="Times New Roman" w:hAnsi="Times New Roman"/>
    </w:rPr>
  </w:style>
  <w:style w:type="character" w:customStyle="1" w:styleId="jrnl">
    <w:name w:val="jrnl"/>
    <w:basedOn w:val="DefaultParagraphFont"/>
    <w:rsid w:val="00485D29"/>
  </w:style>
  <w:style w:type="paragraph" w:styleId="Revision">
    <w:name w:val="Revision"/>
    <w:hidden/>
    <w:uiPriority w:val="99"/>
    <w:semiHidden/>
    <w:rsid w:val="000C562A"/>
    <w:pPr>
      <w:spacing w:after="0" w:line="240" w:lineRule="auto"/>
    </w:pPr>
  </w:style>
  <w:style w:type="table" w:styleId="TableGrid">
    <w:name w:val="Table Grid"/>
    <w:basedOn w:val="TableNormal"/>
    <w:uiPriority w:val="39"/>
    <w:rsid w:val="008A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C0C3C"/>
    <w:rPr>
      <w:i/>
      <w:iCs/>
    </w:rPr>
  </w:style>
  <w:style w:type="paragraph" w:styleId="HTMLPreformatted">
    <w:name w:val="HTML Preformatted"/>
    <w:basedOn w:val="Normal"/>
    <w:link w:val="HTMLPreformattedChar"/>
    <w:uiPriority w:val="99"/>
    <w:semiHidden/>
    <w:unhideWhenUsed/>
    <w:rsid w:val="00A7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B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1249">
      <w:bodyDiv w:val="1"/>
      <w:marLeft w:val="0"/>
      <w:marRight w:val="0"/>
      <w:marTop w:val="0"/>
      <w:marBottom w:val="0"/>
      <w:divBdr>
        <w:top w:val="none" w:sz="0" w:space="0" w:color="auto"/>
        <w:left w:val="none" w:sz="0" w:space="0" w:color="auto"/>
        <w:bottom w:val="none" w:sz="0" w:space="0" w:color="auto"/>
        <w:right w:val="none" w:sz="0" w:space="0" w:color="auto"/>
      </w:divBdr>
      <w:divsChild>
        <w:div w:id="1637176182">
          <w:marLeft w:val="0"/>
          <w:marRight w:val="0"/>
          <w:marTop w:val="0"/>
          <w:marBottom w:val="0"/>
          <w:divBdr>
            <w:top w:val="none" w:sz="0" w:space="0" w:color="auto"/>
            <w:left w:val="none" w:sz="0" w:space="0" w:color="auto"/>
            <w:bottom w:val="none" w:sz="0" w:space="0" w:color="auto"/>
            <w:right w:val="none" w:sz="0" w:space="0" w:color="auto"/>
          </w:divBdr>
          <w:divsChild>
            <w:div w:id="1005130175">
              <w:marLeft w:val="0"/>
              <w:marRight w:val="0"/>
              <w:marTop w:val="0"/>
              <w:marBottom w:val="0"/>
              <w:divBdr>
                <w:top w:val="none" w:sz="0" w:space="0" w:color="auto"/>
                <w:left w:val="none" w:sz="0" w:space="0" w:color="auto"/>
                <w:bottom w:val="none" w:sz="0" w:space="0" w:color="auto"/>
                <w:right w:val="none" w:sz="0" w:space="0" w:color="auto"/>
              </w:divBdr>
              <w:divsChild>
                <w:div w:id="2053649226">
                  <w:marLeft w:val="0"/>
                  <w:marRight w:val="0"/>
                  <w:marTop w:val="0"/>
                  <w:marBottom w:val="0"/>
                  <w:divBdr>
                    <w:top w:val="none" w:sz="0" w:space="0" w:color="auto"/>
                    <w:left w:val="none" w:sz="0" w:space="0" w:color="auto"/>
                    <w:bottom w:val="none" w:sz="0" w:space="0" w:color="auto"/>
                    <w:right w:val="none" w:sz="0" w:space="0" w:color="auto"/>
                  </w:divBdr>
                  <w:divsChild>
                    <w:div w:id="677468753">
                      <w:marLeft w:val="0"/>
                      <w:marRight w:val="0"/>
                      <w:marTop w:val="0"/>
                      <w:marBottom w:val="0"/>
                      <w:divBdr>
                        <w:top w:val="none" w:sz="0" w:space="0" w:color="auto"/>
                        <w:left w:val="none" w:sz="0" w:space="0" w:color="auto"/>
                        <w:bottom w:val="none" w:sz="0" w:space="0" w:color="auto"/>
                        <w:right w:val="none" w:sz="0" w:space="0" w:color="auto"/>
                      </w:divBdr>
                      <w:divsChild>
                        <w:div w:id="1123115333">
                          <w:marLeft w:val="0"/>
                          <w:marRight w:val="0"/>
                          <w:marTop w:val="0"/>
                          <w:marBottom w:val="0"/>
                          <w:divBdr>
                            <w:top w:val="none" w:sz="0" w:space="0" w:color="auto"/>
                            <w:left w:val="none" w:sz="0" w:space="0" w:color="auto"/>
                            <w:bottom w:val="none" w:sz="0" w:space="0" w:color="auto"/>
                            <w:right w:val="none" w:sz="0" w:space="0" w:color="auto"/>
                          </w:divBdr>
                          <w:divsChild>
                            <w:div w:id="141124343">
                              <w:marLeft w:val="0"/>
                              <w:marRight w:val="0"/>
                              <w:marTop w:val="0"/>
                              <w:marBottom w:val="0"/>
                              <w:divBdr>
                                <w:top w:val="none" w:sz="0" w:space="0" w:color="auto"/>
                                <w:left w:val="none" w:sz="0" w:space="0" w:color="auto"/>
                                <w:bottom w:val="none" w:sz="0" w:space="0" w:color="auto"/>
                                <w:right w:val="none" w:sz="0" w:space="0" w:color="auto"/>
                              </w:divBdr>
                              <w:divsChild>
                                <w:div w:id="53898264">
                                  <w:marLeft w:val="0"/>
                                  <w:marRight w:val="0"/>
                                  <w:marTop w:val="0"/>
                                  <w:marBottom w:val="0"/>
                                  <w:divBdr>
                                    <w:top w:val="none" w:sz="0" w:space="0" w:color="auto"/>
                                    <w:left w:val="none" w:sz="0" w:space="0" w:color="auto"/>
                                    <w:bottom w:val="none" w:sz="0" w:space="0" w:color="auto"/>
                                    <w:right w:val="none" w:sz="0" w:space="0" w:color="auto"/>
                                  </w:divBdr>
                                  <w:divsChild>
                                    <w:div w:id="1801654443">
                                      <w:marLeft w:val="0"/>
                                      <w:marRight w:val="0"/>
                                      <w:marTop w:val="0"/>
                                      <w:marBottom w:val="0"/>
                                      <w:divBdr>
                                        <w:top w:val="none" w:sz="0" w:space="0" w:color="auto"/>
                                        <w:left w:val="none" w:sz="0" w:space="0" w:color="auto"/>
                                        <w:bottom w:val="none" w:sz="0" w:space="0" w:color="auto"/>
                                        <w:right w:val="none" w:sz="0" w:space="0" w:color="auto"/>
                                      </w:divBdr>
                                      <w:divsChild>
                                        <w:div w:id="914559143">
                                          <w:marLeft w:val="0"/>
                                          <w:marRight w:val="0"/>
                                          <w:marTop w:val="0"/>
                                          <w:marBottom w:val="0"/>
                                          <w:divBdr>
                                            <w:top w:val="none" w:sz="0" w:space="0" w:color="auto"/>
                                            <w:left w:val="none" w:sz="0" w:space="0" w:color="auto"/>
                                            <w:bottom w:val="none" w:sz="0" w:space="0" w:color="auto"/>
                                            <w:right w:val="none" w:sz="0" w:space="0" w:color="auto"/>
                                          </w:divBdr>
                                          <w:divsChild>
                                            <w:div w:id="1882013605">
                                              <w:marLeft w:val="0"/>
                                              <w:marRight w:val="0"/>
                                              <w:marTop w:val="0"/>
                                              <w:marBottom w:val="0"/>
                                              <w:divBdr>
                                                <w:top w:val="none" w:sz="0" w:space="0" w:color="auto"/>
                                                <w:left w:val="none" w:sz="0" w:space="0" w:color="auto"/>
                                                <w:bottom w:val="none" w:sz="0" w:space="0" w:color="auto"/>
                                                <w:right w:val="none" w:sz="0" w:space="0" w:color="auto"/>
                                              </w:divBdr>
                                              <w:divsChild>
                                                <w:div w:id="505677093">
                                                  <w:marLeft w:val="0"/>
                                                  <w:marRight w:val="0"/>
                                                  <w:marTop w:val="0"/>
                                                  <w:marBottom w:val="0"/>
                                                  <w:divBdr>
                                                    <w:top w:val="none" w:sz="0" w:space="0" w:color="auto"/>
                                                    <w:left w:val="none" w:sz="0" w:space="0" w:color="auto"/>
                                                    <w:bottom w:val="none" w:sz="0" w:space="0" w:color="auto"/>
                                                    <w:right w:val="none" w:sz="0" w:space="0" w:color="auto"/>
                                                  </w:divBdr>
                                                  <w:divsChild>
                                                    <w:div w:id="771169786">
                                                      <w:marLeft w:val="0"/>
                                                      <w:marRight w:val="0"/>
                                                      <w:marTop w:val="0"/>
                                                      <w:marBottom w:val="0"/>
                                                      <w:divBdr>
                                                        <w:top w:val="none" w:sz="0" w:space="0" w:color="auto"/>
                                                        <w:left w:val="none" w:sz="0" w:space="0" w:color="auto"/>
                                                        <w:bottom w:val="none" w:sz="0" w:space="0" w:color="auto"/>
                                                        <w:right w:val="none" w:sz="0" w:space="0" w:color="auto"/>
                                                      </w:divBdr>
                                                      <w:divsChild>
                                                        <w:div w:id="5432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9173816">
      <w:bodyDiv w:val="1"/>
      <w:marLeft w:val="0"/>
      <w:marRight w:val="0"/>
      <w:marTop w:val="0"/>
      <w:marBottom w:val="0"/>
      <w:divBdr>
        <w:top w:val="none" w:sz="0" w:space="0" w:color="auto"/>
        <w:left w:val="none" w:sz="0" w:space="0" w:color="auto"/>
        <w:bottom w:val="none" w:sz="0" w:space="0" w:color="auto"/>
        <w:right w:val="none" w:sz="0" w:space="0" w:color="auto"/>
      </w:divBdr>
    </w:div>
    <w:div w:id="560794170">
      <w:bodyDiv w:val="1"/>
      <w:marLeft w:val="0"/>
      <w:marRight w:val="0"/>
      <w:marTop w:val="0"/>
      <w:marBottom w:val="0"/>
      <w:divBdr>
        <w:top w:val="none" w:sz="0" w:space="0" w:color="auto"/>
        <w:left w:val="none" w:sz="0" w:space="0" w:color="auto"/>
        <w:bottom w:val="none" w:sz="0" w:space="0" w:color="auto"/>
        <w:right w:val="none" w:sz="0" w:space="0" w:color="auto"/>
      </w:divBdr>
    </w:div>
    <w:div w:id="571087288">
      <w:bodyDiv w:val="1"/>
      <w:marLeft w:val="0"/>
      <w:marRight w:val="0"/>
      <w:marTop w:val="0"/>
      <w:marBottom w:val="0"/>
      <w:divBdr>
        <w:top w:val="none" w:sz="0" w:space="0" w:color="auto"/>
        <w:left w:val="none" w:sz="0" w:space="0" w:color="auto"/>
        <w:bottom w:val="none" w:sz="0" w:space="0" w:color="auto"/>
        <w:right w:val="none" w:sz="0" w:space="0" w:color="auto"/>
      </w:divBdr>
    </w:div>
    <w:div w:id="579565783">
      <w:bodyDiv w:val="1"/>
      <w:marLeft w:val="0"/>
      <w:marRight w:val="0"/>
      <w:marTop w:val="0"/>
      <w:marBottom w:val="0"/>
      <w:divBdr>
        <w:top w:val="none" w:sz="0" w:space="0" w:color="auto"/>
        <w:left w:val="none" w:sz="0" w:space="0" w:color="auto"/>
        <w:bottom w:val="none" w:sz="0" w:space="0" w:color="auto"/>
        <w:right w:val="none" w:sz="0" w:space="0" w:color="auto"/>
      </w:divBdr>
      <w:divsChild>
        <w:div w:id="120924774">
          <w:marLeft w:val="0"/>
          <w:marRight w:val="1"/>
          <w:marTop w:val="0"/>
          <w:marBottom w:val="0"/>
          <w:divBdr>
            <w:top w:val="none" w:sz="0" w:space="0" w:color="auto"/>
            <w:left w:val="none" w:sz="0" w:space="0" w:color="auto"/>
            <w:bottom w:val="none" w:sz="0" w:space="0" w:color="auto"/>
            <w:right w:val="none" w:sz="0" w:space="0" w:color="auto"/>
          </w:divBdr>
          <w:divsChild>
            <w:div w:id="955914852">
              <w:marLeft w:val="0"/>
              <w:marRight w:val="0"/>
              <w:marTop w:val="0"/>
              <w:marBottom w:val="0"/>
              <w:divBdr>
                <w:top w:val="none" w:sz="0" w:space="0" w:color="auto"/>
                <w:left w:val="none" w:sz="0" w:space="0" w:color="auto"/>
                <w:bottom w:val="none" w:sz="0" w:space="0" w:color="auto"/>
                <w:right w:val="none" w:sz="0" w:space="0" w:color="auto"/>
              </w:divBdr>
              <w:divsChild>
                <w:div w:id="1880626155">
                  <w:marLeft w:val="0"/>
                  <w:marRight w:val="1"/>
                  <w:marTop w:val="0"/>
                  <w:marBottom w:val="0"/>
                  <w:divBdr>
                    <w:top w:val="none" w:sz="0" w:space="0" w:color="auto"/>
                    <w:left w:val="none" w:sz="0" w:space="0" w:color="auto"/>
                    <w:bottom w:val="none" w:sz="0" w:space="0" w:color="auto"/>
                    <w:right w:val="none" w:sz="0" w:space="0" w:color="auto"/>
                  </w:divBdr>
                  <w:divsChild>
                    <w:div w:id="1337222544">
                      <w:marLeft w:val="0"/>
                      <w:marRight w:val="0"/>
                      <w:marTop w:val="0"/>
                      <w:marBottom w:val="0"/>
                      <w:divBdr>
                        <w:top w:val="none" w:sz="0" w:space="0" w:color="auto"/>
                        <w:left w:val="none" w:sz="0" w:space="0" w:color="auto"/>
                        <w:bottom w:val="none" w:sz="0" w:space="0" w:color="auto"/>
                        <w:right w:val="none" w:sz="0" w:space="0" w:color="auto"/>
                      </w:divBdr>
                      <w:divsChild>
                        <w:div w:id="648248324">
                          <w:marLeft w:val="0"/>
                          <w:marRight w:val="0"/>
                          <w:marTop w:val="0"/>
                          <w:marBottom w:val="0"/>
                          <w:divBdr>
                            <w:top w:val="none" w:sz="0" w:space="0" w:color="auto"/>
                            <w:left w:val="none" w:sz="0" w:space="0" w:color="auto"/>
                            <w:bottom w:val="none" w:sz="0" w:space="0" w:color="auto"/>
                            <w:right w:val="none" w:sz="0" w:space="0" w:color="auto"/>
                          </w:divBdr>
                          <w:divsChild>
                            <w:div w:id="851918059">
                              <w:marLeft w:val="0"/>
                              <w:marRight w:val="0"/>
                              <w:marTop w:val="120"/>
                              <w:marBottom w:val="360"/>
                              <w:divBdr>
                                <w:top w:val="none" w:sz="0" w:space="0" w:color="auto"/>
                                <w:left w:val="none" w:sz="0" w:space="0" w:color="auto"/>
                                <w:bottom w:val="none" w:sz="0" w:space="0" w:color="auto"/>
                                <w:right w:val="none" w:sz="0" w:space="0" w:color="auto"/>
                              </w:divBdr>
                              <w:divsChild>
                                <w:div w:id="880673203">
                                  <w:marLeft w:val="420"/>
                                  <w:marRight w:val="0"/>
                                  <w:marTop w:val="0"/>
                                  <w:marBottom w:val="0"/>
                                  <w:divBdr>
                                    <w:top w:val="none" w:sz="0" w:space="0" w:color="auto"/>
                                    <w:left w:val="none" w:sz="0" w:space="0" w:color="auto"/>
                                    <w:bottom w:val="none" w:sz="0" w:space="0" w:color="auto"/>
                                    <w:right w:val="none" w:sz="0" w:space="0" w:color="auto"/>
                                  </w:divBdr>
                                  <w:divsChild>
                                    <w:div w:id="137646195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13700">
      <w:bodyDiv w:val="1"/>
      <w:marLeft w:val="0"/>
      <w:marRight w:val="0"/>
      <w:marTop w:val="0"/>
      <w:marBottom w:val="0"/>
      <w:divBdr>
        <w:top w:val="none" w:sz="0" w:space="0" w:color="auto"/>
        <w:left w:val="none" w:sz="0" w:space="0" w:color="auto"/>
        <w:bottom w:val="none" w:sz="0" w:space="0" w:color="auto"/>
        <w:right w:val="none" w:sz="0" w:space="0" w:color="auto"/>
      </w:divBdr>
    </w:div>
    <w:div w:id="747576615">
      <w:bodyDiv w:val="1"/>
      <w:marLeft w:val="0"/>
      <w:marRight w:val="0"/>
      <w:marTop w:val="0"/>
      <w:marBottom w:val="0"/>
      <w:divBdr>
        <w:top w:val="none" w:sz="0" w:space="0" w:color="auto"/>
        <w:left w:val="none" w:sz="0" w:space="0" w:color="auto"/>
        <w:bottom w:val="none" w:sz="0" w:space="0" w:color="auto"/>
        <w:right w:val="none" w:sz="0" w:space="0" w:color="auto"/>
      </w:divBdr>
      <w:divsChild>
        <w:div w:id="244922476">
          <w:marLeft w:val="0"/>
          <w:marRight w:val="1"/>
          <w:marTop w:val="0"/>
          <w:marBottom w:val="0"/>
          <w:divBdr>
            <w:top w:val="none" w:sz="0" w:space="0" w:color="auto"/>
            <w:left w:val="none" w:sz="0" w:space="0" w:color="auto"/>
            <w:bottom w:val="none" w:sz="0" w:space="0" w:color="auto"/>
            <w:right w:val="none" w:sz="0" w:space="0" w:color="auto"/>
          </w:divBdr>
          <w:divsChild>
            <w:div w:id="1683435096">
              <w:marLeft w:val="0"/>
              <w:marRight w:val="0"/>
              <w:marTop w:val="0"/>
              <w:marBottom w:val="0"/>
              <w:divBdr>
                <w:top w:val="none" w:sz="0" w:space="0" w:color="auto"/>
                <w:left w:val="none" w:sz="0" w:space="0" w:color="auto"/>
                <w:bottom w:val="none" w:sz="0" w:space="0" w:color="auto"/>
                <w:right w:val="none" w:sz="0" w:space="0" w:color="auto"/>
              </w:divBdr>
              <w:divsChild>
                <w:div w:id="69550000">
                  <w:marLeft w:val="0"/>
                  <w:marRight w:val="1"/>
                  <w:marTop w:val="0"/>
                  <w:marBottom w:val="0"/>
                  <w:divBdr>
                    <w:top w:val="none" w:sz="0" w:space="0" w:color="auto"/>
                    <w:left w:val="none" w:sz="0" w:space="0" w:color="auto"/>
                    <w:bottom w:val="none" w:sz="0" w:space="0" w:color="auto"/>
                    <w:right w:val="none" w:sz="0" w:space="0" w:color="auto"/>
                  </w:divBdr>
                  <w:divsChild>
                    <w:div w:id="1670130611">
                      <w:marLeft w:val="0"/>
                      <w:marRight w:val="0"/>
                      <w:marTop w:val="0"/>
                      <w:marBottom w:val="0"/>
                      <w:divBdr>
                        <w:top w:val="none" w:sz="0" w:space="0" w:color="auto"/>
                        <w:left w:val="none" w:sz="0" w:space="0" w:color="auto"/>
                        <w:bottom w:val="none" w:sz="0" w:space="0" w:color="auto"/>
                        <w:right w:val="none" w:sz="0" w:space="0" w:color="auto"/>
                      </w:divBdr>
                      <w:divsChild>
                        <w:div w:id="1460150363">
                          <w:marLeft w:val="0"/>
                          <w:marRight w:val="0"/>
                          <w:marTop w:val="0"/>
                          <w:marBottom w:val="0"/>
                          <w:divBdr>
                            <w:top w:val="none" w:sz="0" w:space="0" w:color="auto"/>
                            <w:left w:val="none" w:sz="0" w:space="0" w:color="auto"/>
                            <w:bottom w:val="none" w:sz="0" w:space="0" w:color="auto"/>
                            <w:right w:val="none" w:sz="0" w:space="0" w:color="auto"/>
                          </w:divBdr>
                          <w:divsChild>
                            <w:div w:id="863179276">
                              <w:marLeft w:val="0"/>
                              <w:marRight w:val="0"/>
                              <w:marTop w:val="120"/>
                              <w:marBottom w:val="360"/>
                              <w:divBdr>
                                <w:top w:val="none" w:sz="0" w:space="0" w:color="auto"/>
                                <w:left w:val="none" w:sz="0" w:space="0" w:color="auto"/>
                                <w:bottom w:val="none" w:sz="0" w:space="0" w:color="auto"/>
                                <w:right w:val="none" w:sz="0" w:space="0" w:color="auto"/>
                              </w:divBdr>
                              <w:divsChild>
                                <w:div w:id="138771753">
                                  <w:marLeft w:val="420"/>
                                  <w:marRight w:val="0"/>
                                  <w:marTop w:val="0"/>
                                  <w:marBottom w:val="0"/>
                                  <w:divBdr>
                                    <w:top w:val="none" w:sz="0" w:space="0" w:color="auto"/>
                                    <w:left w:val="none" w:sz="0" w:space="0" w:color="auto"/>
                                    <w:bottom w:val="none" w:sz="0" w:space="0" w:color="auto"/>
                                    <w:right w:val="none" w:sz="0" w:space="0" w:color="auto"/>
                                  </w:divBdr>
                                  <w:divsChild>
                                    <w:div w:id="51657558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07867">
      <w:bodyDiv w:val="1"/>
      <w:marLeft w:val="0"/>
      <w:marRight w:val="0"/>
      <w:marTop w:val="0"/>
      <w:marBottom w:val="0"/>
      <w:divBdr>
        <w:top w:val="none" w:sz="0" w:space="0" w:color="auto"/>
        <w:left w:val="none" w:sz="0" w:space="0" w:color="auto"/>
        <w:bottom w:val="none" w:sz="0" w:space="0" w:color="auto"/>
        <w:right w:val="none" w:sz="0" w:space="0" w:color="auto"/>
      </w:divBdr>
    </w:div>
    <w:div w:id="834488822">
      <w:bodyDiv w:val="1"/>
      <w:marLeft w:val="0"/>
      <w:marRight w:val="0"/>
      <w:marTop w:val="0"/>
      <w:marBottom w:val="0"/>
      <w:divBdr>
        <w:top w:val="none" w:sz="0" w:space="0" w:color="auto"/>
        <w:left w:val="none" w:sz="0" w:space="0" w:color="auto"/>
        <w:bottom w:val="none" w:sz="0" w:space="0" w:color="auto"/>
        <w:right w:val="none" w:sz="0" w:space="0" w:color="auto"/>
      </w:divBdr>
    </w:div>
    <w:div w:id="951280588">
      <w:bodyDiv w:val="1"/>
      <w:marLeft w:val="0"/>
      <w:marRight w:val="0"/>
      <w:marTop w:val="0"/>
      <w:marBottom w:val="0"/>
      <w:divBdr>
        <w:top w:val="none" w:sz="0" w:space="0" w:color="auto"/>
        <w:left w:val="none" w:sz="0" w:space="0" w:color="auto"/>
        <w:bottom w:val="none" w:sz="0" w:space="0" w:color="auto"/>
        <w:right w:val="none" w:sz="0" w:space="0" w:color="auto"/>
      </w:divBdr>
    </w:div>
    <w:div w:id="1208909000">
      <w:bodyDiv w:val="1"/>
      <w:marLeft w:val="0"/>
      <w:marRight w:val="0"/>
      <w:marTop w:val="0"/>
      <w:marBottom w:val="0"/>
      <w:divBdr>
        <w:top w:val="none" w:sz="0" w:space="0" w:color="auto"/>
        <w:left w:val="none" w:sz="0" w:space="0" w:color="auto"/>
        <w:bottom w:val="none" w:sz="0" w:space="0" w:color="auto"/>
        <w:right w:val="none" w:sz="0" w:space="0" w:color="auto"/>
      </w:divBdr>
    </w:div>
    <w:div w:id="1291017300">
      <w:bodyDiv w:val="1"/>
      <w:marLeft w:val="0"/>
      <w:marRight w:val="0"/>
      <w:marTop w:val="0"/>
      <w:marBottom w:val="0"/>
      <w:divBdr>
        <w:top w:val="none" w:sz="0" w:space="0" w:color="auto"/>
        <w:left w:val="none" w:sz="0" w:space="0" w:color="auto"/>
        <w:bottom w:val="none" w:sz="0" w:space="0" w:color="auto"/>
        <w:right w:val="none" w:sz="0" w:space="0" w:color="auto"/>
      </w:divBdr>
    </w:div>
    <w:div w:id="1363744678">
      <w:bodyDiv w:val="1"/>
      <w:marLeft w:val="0"/>
      <w:marRight w:val="0"/>
      <w:marTop w:val="0"/>
      <w:marBottom w:val="0"/>
      <w:divBdr>
        <w:top w:val="none" w:sz="0" w:space="0" w:color="auto"/>
        <w:left w:val="none" w:sz="0" w:space="0" w:color="auto"/>
        <w:bottom w:val="none" w:sz="0" w:space="0" w:color="auto"/>
        <w:right w:val="none" w:sz="0" w:space="0" w:color="auto"/>
      </w:divBdr>
    </w:div>
    <w:div w:id="1441951083">
      <w:bodyDiv w:val="1"/>
      <w:marLeft w:val="0"/>
      <w:marRight w:val="0"/>
      <w:marTop w:val="0"/>
      <w:marBottom w:val="0"/>
      <w:divBdr>
        <w:top w:val="none" w:sz="0" w:space="0" w:color="auto"/>
        <w:left w:val="none" w:sz="0" w:space="0" w:color="auto"/>
        <w:bottom w:val="none" w:sz="0" w:space="0" w:color="auto"/>
        <w:right w:val="none" w:sz="0" w:space="0" w:color="auto"/>
      </w:divBdr>
    </w:div>
    <w:div w:id="1519613809">
      <w:bodyDiv w:val="1"/>
      <w:marLeft w:val="0"/>
      <w:marRight w:val="0"/>
      <w:marTop w:val="0"/>
      <w:marBottom w:val="0"/>
      <w:divBdr>
        <w:top w:val="none" w:sz="0" w:space="0" w:color="auto"/>
        <w:left w:val="none" w:sz="0" w:space="0" w:color="auto"/>
        <w:bottom w:val="none" w:sz="0" w:space="0" w:color="auto"/>
        <w:right w:val="none" w:sz="0" w:space="0" w:color="auto"/>
      </w:divBdr>
      <w:divsChild>
        <w:div w:id="25563196">
          <w:marLeft w:val="0"/>
          <w:marRight w:val="0"/>
          <w:marTop w:val="0"/>
          <w:marBottom w:val="0"/>
          <w:divBdr>
            <w:top w:val="none" w:sz="0" w:space="0" w:color="auto"/>
            <w:left w:val="none" w:sz="0" w:space="0" w:color="auto"/>
            <w:bottom w:val="none" w:sz="0" w:space="0" w:color="auto"/>
            <w:right w:val="none" w:sz="0" w:space="0" w:color="auto"/>
          </w:divBdr>
          <w:divsChild>
            <w:div w:id="787239998">
              <w:marLeft w:val="0"/>
              <w:marRight w:val="0"/>
              <w:marTop w:val="0"/>
              <w:marBottom w:val="0"/>
              <w:divBdr>
                <w:top w:val="none" w:sz="0" w:space="0" w:color="auto"/>
                <w:left w:val="none" w:sz="0" w:space="0" w:color="auto"/>
                <w:bottom w:val="none" w:sz="0" w:space="0" w:color="auto"/>
                <w:right w:val="none" w:sz="0" w:space="0" w:color="auto"/>
              </w:divBdr>
              <w:divsChild>
                <w:div w:id="329724959">
                  <w:marLeft w:val="0"/>
                  <w:marRight w:val="0"/>
                  <w:marTop w:val="116"/>
                  <w:marBottom w:val="116"/>
                  <w:divBdr>
                    <w:top w:val="none" w:sz="0" w:space="0" w:color="auto"/>
                    <w:left w:val="none" w:sz="0" w:space="0" w:color="auto"/>
                    <w:bottom w:val="none" w:sz="0" w:space="0" w:color="auto"/>
                    <w:right w:val="none" w:sz="0" w:space="0" w:color="auto"/>
                  </w:divBdr>
                  <w:divsChild>
                    <w:div w:id="1100760526">
                      <w:marLeft w:val="0"/>
                      <w:marRight w:val="0"/>
                      <w:marTop w:val="0"/>
                      <w:marBottom w:val="0"/>
                      <w:divBdr>
                        <w:top w:val="none" w:sz="0" w:space="0" w:color="auto"/>
                        <w:left w:val="none" w:sz="0" w:space="0" w:color="auto"/>
                        <w:bottom w:val="none" w:sz="0" w:space="0" w:color="auto"/>
                        <w:right w:val="none" w:sz="0" w:space="0" w:color="auto"/>
                      </w:divBdr>
                      <w:divsChild>
                        <w:div w:id="1305348682">
                          <w:marLeft w:val="0"/>
                          <w:marRight w:val="0"/>
                          <w:marTop w:val="0"/>
                          <w:marBottom w:val="0"/>
                          <w:divBdr>
                            <w:top w:val="none" w:sz="0" w:space="0" w:color="auto"/>
                            <w:left w:val="none" w:sz="0" w:space="0" w:color="auto"/>
                            <w:bottom w:val="none" w:sz="0" w:space="0" w:color="auto"/>
                            <w:right w:val="none" w:sz="0" w:space="0" w:color="auto"/>
                          </w:divBdr>
                        </w:div>
                        <w:div w:id="1162116294">
                          <w:marLeft w:val="0"/>
                          <w:marRight w:val="0"/>
                          <w:marTop w:val="0"/>
                          <w:marBottom w:val="0"/>
                          <w:divBdr>
                            <w:top w:val="none" w:sz="0" w:space="0" w:color="auto"/>
                            <w:left w:val="none" w:sz="0" w:space="0" w:color="auto"/>
                            <w:bottom w:val="none" w:sz="0" w:space="0" w:color="auto"/>
                            <w:right w:val="none" w:sz="0" w:space="0" w:color="auto"/>
                          </w:divBdr>
                        </w:div>
                        <w:div w:id="197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69168">
      <w:bodyDiv w:val="1"/>
      <w:marLeft w:val="0"/>
      <w:marRight w:val="0"/>
      <w:marTop w:val="0"/>
      <w:marBottom w:val="0"/>
      <w:divBdr>
        <w:top w:val="none" w:sz="0" w:space="0" w:color="auto"/>
        <w:left w:val="none" w:sz="0" w:space="0" w:color="auto"/>
        <w:bottom w:val="none" w:sz="0" w:space="0" w:color="auto"/>
        <w:right w:val="none" w:sz="0" w:space="0" w:color="auto"/>
      </w:divBdr>
    </w:div>
    <w:div w:id="1948653672">
      <w:bodyDiv w:val="1"/>
      <w:marLeft w:val="0"/>
      <w:marRight w:val="0"/>
      <w:marTop w:val="0"/>
      <w:marBottom w:val="0"/>
      <w:divBdr>
        <w:top w:val="none" w:sz="0" w:space="0" w:color="auto"/>
        <w:left w:val="none" w:sz="0" w:space="0" w:color="auto"/>
        <w:bottom w:val="none" w:sz="0" w:space="0" w:color="auto"/>
        <w:right w:val="none" w:sz="0" w:space="0" w:color="auto"/>
      </w:divBdr>
    </w:div>
    <w:div w:id="2121100375">
      <w:bodyDiv w:val="1"/>
      <w:marLeft w:val="0"/>
      <w:marRight w:val="0"/>
      <w:marTop w:val="0"/>
      <w:marBottom w:val="0"/>
      <w:divBdr>
        <w:top w:val="none" w:sz="0" w:space="0" w:color="auto"/>
        <w:left w:val="none" w:sz="0" w:space="0" w:color="auto"/>
        <w:bottom w:val="none" w:sz="0" w:space="0" w:color="auto"/>
        <w:right w:val="none" w:sz="0" w:space="0" w:color="auto"/>
      </w:divBdr>
      <w:divsChild>
        <w:div w:id="1001153162">
          <w:marLeft w:val="0"/>
          <w:marRight w:val="0"/>
          <w:marTop w:val="0"/>
          <w:marBottom w:val="0"/>
          <w:divBdr>
            <w:top w:val="none" w:sz="0" w:space="0" w:color="auto"/>
            <w:left w:val="none" w:sz="0" w:space="0" w:color="auto"/>
            <w:bottom w:val="none" w:sz="0" w:space="0" w:color="auto"/>
            <w:right w:val="none" w:sz="0" w:space="0" w:color="auto"/>
          </w:divBdr>
          <w:divsChild>
            <w:div w:id="570964571">
              <w:marLeft w:val="0"/>
              <w:marRight w:val="0"/>
              <w:marTop w:val="0"/>
              <w:marBottom w:val="0"/>
              <w:divBdr>
                <w:top w:val="none" w:sz="0" w:space="0" w:color="auto"/>
                <w:left w:val="none" w:sz="0" w:space="0" w:color="auto"/>
                <w:bottom w:val="none" w:sz="0" w:space="0" w:color="auto"/>
                <w:right w:val="none" w:sz="0" w:space="0" w:color="auto"/>
              </w:divBdr>
              <w:divsChild>
                <w:div w:id="1619989880">
                  <w:marLeft w:val="0"/>
                  <w:marRight w:val="0"/>
                  <w:marTop w:val="141"/>
                  <w:marBottom w:val="141"/>
                  <w:divBdr>
                    <w:top w:val="none" w:sz="0" w:space="0" w:color="auto"/>
                    <w:left w:val="none" w:sz="0" w:space="0" w:color="auto"/>
                    <w:bottom w:val="none" w:sz="0" w:space="0" w:color="auto"/>
                    <w:right w:val="none" w:sz="0" w:space="0" w:color="auto"/>
                  </w:divBdr>
                  <w:divsChild>
                    <w:div w:id="226185100">
                      <w:marLeft w:val="0"/>
                      <w:marRight w:val="0"/>
                      <w:marTop w:val="0"/>
                      <w:marBottom w:val="0"/>
                      <w:divBdr>
                        <w:top w:val="none" w:sz="0" w:space="0" w:color="auto"/>
                        <w:left w:val="none" w:sz="0" w:space="0" w:color="auto"/>
                        <w:bottom w:val="none" w:sz="0" w:space="0" w:color="auto"/>
                        <w:right w:val="none" w:sz="0" w:space="0" w:color="auto"/>
                      </w:divBdr>
                      <w:divsChild>
                        <w:div w:id="400835369">
                          <w:marLeft w:val="0"/>
                          <w:marRight w:val="0"/>
                          <w:marTop w:val="0"/>
                          <w:marBottom w:val="0"/>
                          <w:divBdr>
                            <w:top w:val="none" w:sz="0" w:space="0" w:color="auto"/>
                            <w:left w:val="none" w:sz="0" w:space="0" w:color="auto"/>
                            <w:bottom w:val="none" w:sz="0" w:space="0" w:color="auto"/>
                            <w:right w:val="none" w:sz="0" w:space="0" w:color="auto"/>
                          </w:divBdr>
                        </w:div>
                        <w:div w:id="469134076">
                          <w:marLeft w:val="0"/>
                          <w:marRight w:val="0"/>
                          <w:marTop w:val="0"/>
                          <w:marBottom w:val="0"/>
                          <w:divBdr>
                            <w:top w:val="none" w:sz="0" w:space="0" w:color="auto"/>
                            <w:left w:val="none" w:sz="0" w:space="0" w:color="auto"/>
                            <w:bottom w:val="none" w:sz="0" w:space="0" w:color="auto"/>
                            <w:right w:val="none" w:sz="0" w:space="0" w:color="auto"/>
                          </w:divBdr>
                        </w:div>
                        <w:div w:id="103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ubmed/24942466" TargetMode="External"/><Relationship Id="rId1" Type="http://schemas.openxmlformats.org/officeDocument/2006/relationships/hyperlink" Target="http://lab.express-scripts.com/lab/insights/industry-updates/us-rx-spending-increased-13-percent-i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2D7DC-1DCE-424F-81C5-A7F552F2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9</Pages>
  <Words>3818</Words>
  <Characters>21766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UAB</Company>
  <LinksUpToDate>false</LinksUpToDate>
  <CharactersWithSpaces>25533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Kan</dc:creator>
  <cp:lastModifiedBy>Hong Kan</cp:lastModifiedBy>
  <cp:revision>20</cp:revision>
  <cp:lastPrinted>2016-05-20T20:28:00Z</cp:lastPrinted>
  <dcterms:created xsi:type="dcterms:W3CDTF">2016-05-20T20:27:00Z</dcterms:created>
  <dcterms:modified xsi:type="dcterms:W3CDTF">2016-10-23T19:31:00Z</dcterms:modified>
</cp:coreProperties>
</file>