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7365D"/>
          <w:sz w:val="48"/>
        </w:rPr>
        <w:t>Technical Validation 検証プロトコル</w:t>
      </w:r>
    </w:p>
    <w:p>
      <w:pPr>
        <w:jc w:val="center"/>
      </w:pPr>
      <w:r>
        <w:rPr>
          <w:rFonts w:ascii="Noto Sans CJK JP" w:hAnsi="Noto Sans CJK JP" w:eastAsia="Noto Sans CJK JP"/>
          <w:color w:val="2F75B5"/>
          <w:sz w:val="24"/>
        </w:rPr>
        <w:t>GREEN限定公開版と全5,200特徴量カタログ</w:t>
      </w:r>
    </w:p>
    <w:p/>
    <w:p>
      <w:pPr>
        <w:jc w:val="center"/>
      </w:pPr>
      <w:r>
        <w:rPr>
          <w:b/>
          <w:color w:val="1B7F79"/>
          <w:sz w:val="22"/>
        </w:rPr>
        <w:t>Dataset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3402"/>
        <w:gridCol w:w="4535"/>
      </w:tblGrid>
      <w:tr>
        <w:trPr>
          <w:cantSplit/>
          <w:tblHeader/>
        </w:trPr>
        <w:tc>
          <w:tcPr>
            <w:tcW w:type="dxa" w:w="4986"/>
            <w:shd w:fill="EAF2F8"/>
            <w:vAlign w:val="center"/>
          </w:tcPr>
          <w:p>
            <w:r>
              <w:t>Element coverage</w:t>
            </w:r>
          </w:p>
        </w:tc>
        <w:tc>
          <w:tcPr>
            <w:tcW w:type="dxa" w:w="4986"/>
            <w:vAlign w:val="center"/>
          </w:tcPr>
          <w:p>
            <w:r>
              <w:t>118 elements (H-Og)</w:t>
            </w:r>
          </w:p>
        </w:tc>
      </w:tr>
      <w:tr>
        <w:trPr>
          <w:cantSplit/>
        </w:trPr>
        <w:tc>
          <w:tcPr>
            <w:tcW w:type="dxa" w:w="4986"/>
            <w:shd w:fill="EAF2F8"/>
            <w:vAlign w:val="center"/>
          </w:tcPr>
          <w:p>
            <w:r>
              <w:t>Public interpretable matrix</w:t>
            </w:r>
          </w:p>
        </w:tc>
        <w:tc>
          <w:tcPr>
            <w:tcW w:type="dxa" w:w="4986"/>
            <w:vAlign w:val="center"/>
          </w:tcPr>
          <w:p>
            <w:r>
              <w:t>element_data_interpretable.csv: 822 features (tiers A-C)</w:t>
            </w:r>
          </w:p>
        </w:tc>
      </w:tr>
      <w:tr>
        <w:trPr>
          <w:cantSplit/>
        </w:trPr>
        <w:tc>
          <w:tcPr>
            <w:tcW w:type="dxa" w:w="4986"/>
            <w:shd w:fill="EAF2F8"/>
            <w:vAlign w:val="center"/>
          </w:tcPr>
          <w:p>
            <w:r>
              <w:t>Public other matrix</w:t>
            </w:r>
          </w:p>
        </w:tc>
        <w:tc>
          <w:tcPr>
            <w:tcW w:type="dxa" w:w="4986"/>
            <w:vAlign w:val="center"/>
          </w:tcPr>
          <w:p>
            <w:r>
              <w:t>element_data_others.csv: 944 features (tiers D-G)</w:t>
            </w:r>
          </w:p>
        </w:tc>
      </w:tr>
      <w:tr>
        <w:trPr>
          <w:cantSplit/>
        </w:trPr>
        <w:tc>
          <w:tcPr>
            <w:tcW w:type="dxa" w:w="4986"/>
            <w:shd w:fill="EAF2F8"/>
            <w:vAlign w:val="center"/>
          </w:tcPr>
          <w:p>
            <w:r>
              <w:t>Catalogue relationship</w:t>
            </w:r>
          </w:p>
        </w:tc>
        <w:tc>
          <w:tcPr>
            <w:tcW w:type="dxa" w:w="4986"/>
            <w:vAlign w:val="center"/>
          </w:tcPr>
          <w:p>
            <w:r>
              <w:t>1,766 public + 3,434 licence-excluded optional = 5,200 unique features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Updated for release v1.0.0 | 2026-07-18</w:t>
      </w:r>
    </w:p>
    <w:p>
      <w:r>
        <w:br w:type="page"/>
      </w:r>
    </w:p>
    <w:p>
      <w:pPr>
        <w:pStyle w:val="Heading1"/>
      </w:pPr>
      <w:r>
        <w:t>1. 目的と適用範囲</w:t>
      </w:r>
    </w:p>
    <w:p>
      <w:r>
        <w:t>本仕様は、公開リリースの構造的完全性、ソース忠実性、再現性、物理・化学的妥当性、解釈分類の信頼性、および権利処理ゲートを、第三者が追試できる証拠付きで検証するためのものとする。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2835"/>
            <w:shd w:fill="17365D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236"/>
            <w:shd w:fill="17365D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推奨内容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対象データ</w:t>
            </w:r>
          </w:p>
        </w:tc>
        <w:tc>
          <w:tcPr>
            <w:tcW w:type="dxa" w:w="6236"/>
            <w:vAlign w:val="top"/>
          </w:tcPr>
          <w:p>
            <w:r>
              <w:t>Public CSVs, public/excluded feature metadata, source registry, licence policy, and Tier-review records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必須ゲート</w:t>
            </w:r>
          </w:p>
        </w:tc>
        <w:tc>
          <w:tcPr>
            <w:tcW w:type="dxa" w:w="6236"/>
            <w:vAlign w:val="top"/>
          </w:tcPr>
          <w:p>
            <w:r>
              <w:t>構造・再現性・metadata整合性・数値健全性・GREEN限定公開・Tier裁定の追跡可能性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記述的検証</w:t>
            </w:r>
          </w:p>
        </w:tc>
        <w:tc>
          <w:tcPr>
            <w:tcW w:type="dxa" w:w="6236"/>
            <w:vAlign w:val="top"/>
          </w:tcPr>
          <w:p>
            <w:r>
              <w:t>被覆率、欠損パターン、cross-source差、分布・外れ値、Tier一致度の可視化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証拠原則</w:t>
            </w:r>
          </w:p>
        </w:tc>
        <w:tc>
          <w:tcPr>
            <w:tcW w:type="dxa" w:w="6236"/>
            <w:vAlign w:val="top"/>
          </w:tcPr>
          <w:p>
            <w:r>
              <w:t>各試験はmachine-readable report、ログ、図、サンプル照合表、hash、または裁定表を残す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判定単位</w:t>
            </w:r>
          </w:p>
        </w:tc>
        <w:tc>
          <w:tcPr>
            <w:tcW w:type="dxa" w:w="6236"/>
            <w:vAlign w:val="top"/>
          </w:tcPr>
          <w:p>
            <w:r>
              <w:t>release tag / DOI version単位。データまたはTier変更ごとに必須試験を再実行する</w:t>
            </w:r>
          </w:p>
        </w:tc>
      </w:tr>
    </w:tbl>
    <w:p>
      <w:pPr>
        <w:pStyle w:val="Heading1"/>
      </w:pPr>
      <w:r>
        <w:t>2. 検証レベルと判定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2835"/>
            <w:shd w:fill="17365D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236"/>
            <w:shd w:fill="17365D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推奨内容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事前定義した合格基準を満たし、証拠ファイルが保存されている。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PASS WITH NOTE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データの性質として許容される例外があり、理由と影響が明示されている。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FAIL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合格基準を満たさない。releaseを停止し修正後に再実行する。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NOT APPLICABLE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当該source/blockに対象量が存在しない。理由を記録する。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Publication gate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MandatoryかつCritical/Highの試験は、全てPASSまたは承認済みPASS WITH NOTEであること。</w:t>
            </w:r>
          </w:p>
        </w:tc>
      </w:tr>
    </w:tbl>
    <w:p>
      <w:pPr>
        <w:pStyle w:val="Heading1"/>
      </w:pPr>
      <w:r>
        <w:t>3. 必須検証群</w:t>
      </w:r>
    </w:p>
    <w:p>
      <w:pPr>
        <w:pStyle w:val="Heading2"/>
      </w:pPr>
      <w:r>
        <w:t>3.1 File and schema integrity</w:t>
      </w:r>
    </w:p>
    <w:p>
      <w:pPr>
        <w:pStyle w:val="ListBullet"/>
        <w:spacing w:after="40"/>
      </w:pPr>
      <w:r>
        <w:t>SHA-256とmanifestの一致。</w:t>
      </w:r>
    </w:p>
    <w:p>
      <w:pPr>
        <w:pStyle w:val="ListBullet"/>
        <w:spacing w:after="40"/>
      </w:pPr>
      <w:r>
        <w:t>両CSVが118元素、H-Og順、元素記号一意。</w:t>
      </w:r>
    </w:p>
    <w:p>
      <w:pPr>
        <w:pStyle w:val="ListBullet"/>
        <w:spacing w:after="40"/>
      </w:pPr>
      <w:r>
        <w:t>公開CSVの特徴量数が822と944、交差0、和集合1,766である。全カタログは公開1,766列とライセンス除外3,434列の計5,200列である。</w:t>
      </w:r>
    </w:p>
    <w:p>
      <w:pPr>
        <w:pStyle w:val="ListBullet"/>
        <w:spacing w:after="40"/>
      </w:pPr>
      <w:r>
        <w:t>metadataのfeature集合・coverage countが実データと一致。</w:t>
      </w:r>
    </w:p>
    <w:p>
      <w:pPr>
        <w:pStyle w:val="ListBullet"/>
        <w:spacing w:after="40"/>
      </w:pPr>
      <w:r>
        <w:t>全空列、重複列名、NaN/inf文字列、不正な非数値セルがない。</w:t>
      </w:r>
    </w:p>
    <w:p>
      <w:pPr>
        <w:pStyle w:val="Heading2"/>
      </w:pPr>
      <w:r>
        <w:t>3.2 Reproducible build</w:t>
      </w:r>
    </w:p>
    <w:p>
      <w:pPr>
        <w:pStyle w:val="ListBullet"/>
        <w:spacing w:after="40"/>
      </w:pPr>
      <w:r>
        <w:t>クリーン環境でrelease tagから全成果物を再構築。</w:t>
      </w:r>
    </w:p>
    <w:p>
      <w:pPr>
        <w:pStyle w:val="ListBullet"/>
        <w:spacing w:after="40"/>
      </w:pPr>
      <w:r>
        <w:t>入力assetのtag/commit/hashを固定。</w:t>
      </w:r>
    </w:p>
    <w:p>
      <w:pPr>
        <w:pStyle w:val="ListBullet"/>
        <w:spacing w:after="40"/>
      </w:pPr>
      <w:r>
        <w:t>同一環境で2回実行し、出力byte hashを一致させる。</w:t>
      </w:r>
    </w:p>
    <w:p>
      <w:pPr>
        <w:pStyle w:val="ListBullet"/>
        <w:spacing w:after="40"/>
      </w:pPr>
      <w:r>
        <w:t>OS/locale依存を避けるため、列順、float formatting、改行、encodingを固定。</w:t>
      </w:r>
    </w:p>
    <w:p>
      <w:pPr>
        <w:pStyle w:val="Heading2"/>
      </w:pPr>
      <w:r>
        <w:t>3.3 Source fidelity</w:t>
      </w:r>
    </w:p>
    <w:p>
      <w:pPr>
        <w:pStyle w:val="ListBullet"/>
        <w:spacing w:after="40"/>
      </w:pPr>
      <w:r>
        <w:t>source/blockごとに最低10レコード、10未満なら全件を層化抽出。</w:t>
      </w:r>
    </w:p>
    <w:p>
      <w:pPr>
        <w:pStyle w:val="ListBullet"/>
        <w:spacing w:after="40"/>
      </w:pPr>
      <w:r>
        <w:t>元素番号域（軽・中・重・人工元素）、欠損有無、条件カテゴリを含める。</w:t>
      </w:r>
    </w:p>
    <w:p>
      <w:pPr>
        <w:pStyle w:val="ListBullet"/>
        <w:spacing w:after="40"/>
      </w:pPr>
      <w:r>
        <w:t>原値、単位変換、カテゴリ符号化、統計集約、派生式を独立に再計算。</w:t>
      </w:r>
    </w:p>
    <w:p>
      <w:pPr>
        <w:pStyle w:val="ListBullet"/>
        <w:spacing w:after="40"/>
      </w:pPr>
      <w:r>
        <w:t>直接コピー値は原データの表示精度または定義した数値許容差内で一致。</w:t>
      </w:r>
    </w:p>
    <w:p>
      <w:pPr>
        <w:pStyle w:val="Heading2"/>
      </w:pPr>
      <w:r>
        <w:t>3.4 Physical and chemical consistency</w:t>
      </w:r>
    </w:p>
    <w:p>
      <w:pPr>
        <w:pStyle w:val="ListBullet"/>
        <w:spacing w:after="40"/>
      </w:pPr>
      <w:r>
        <w:t>正であるべき量の符号、区間のlower&lt;=upper、件数の非負整数性。</w:t>
      </w:r>
    </w:p>
    <w:p>
      <w:pPr>
        <w:pStyle w:val="ListBullet"/>
        <w:spacing w:after="40"/>
      </w:pPr>
      <w:r>
        <w:t>累積イオン化エネルギーの単調増加、電子配置の電子数整合。</w:t>
      </w:r>
    </w:p>
    <w:p>
      <w:pPr>
        <w:pStyle w:val="ListBullet"/>
        <w:spacing w:after="40"/>
      </w:pPr>
      <w:r>
        <w:t>天然存在比の和、X線端・線エネルギー、断面積、半径等の妥当範囲。</w:t>
      </w:r>
    </w:p>
    <w:p>
      <w:pPr>
        <w:pStyle w:val="ListBullet"/>
        <w:spacing w:after="40"/>
      </w:pPr>
      <w:r>
        <w:t>ルール違反は元データ由来か変換不具合かを切り分け、元データ由来なら注記。</w:t>
      </w:r>
    </w:p>
    <w:p>
      <w:pPr>
        <w:pStyle w:val="Heading2"/>
      </w:pPr>
      <w:r>
        <w:t>3.5 Coverage and missingness</w:t>
      </w:r>
    </w:p>
    <w:p>
      <w:pPr>
        <w:pStyle w:val="ListBullet"/>
        <w:spacing w:after="40"/>
      </w:pPr>
      <w:r>
        <w:t>元素別非欠損数、block別被覆率、tier別被覆率を再計算。</w:t>
      </w:r>
    </w:p>
    <w:p>
      <w:pPr>
        <w:pStyle w:val="ListBullet"/>
        <w:spacing w:after="40"/>
      </w:pPr>
      <w:r>
        <w:t>人工元素、短寿命核種、モデル対象外元素の系統的欠損を可視化。</w:t>
      </w:r>
    </w:p>
    <w:p>
      <w:pPr>
        <w:pStyle w:val="ListBullet"/>
        <w:spacing w:after="40"/>
      </w:pPr>
      <w:r>
        <w:t>欠損を0に置換しない。source-not-coveredとnot-applicableを可能な範囲で区別。</w:t>
      </w:r>
    </w:p>
    <w:p>
      <w:pPr>
        <w:pStyle w:val="Heading2"/>
      </w:pPr>
      <w:r>
        <w:t>3.6 Duplicate and concordance analysis</w:t>
      </w:r>
    </w:p>
    <w:p>
      <w:pPr>
        <w:pStyle w:val="ListBullet"/>
        <w:spacing w:after="40"/>
      </w:pPr>
      <w:r>
        <w:t>同一概念候補にcanonical_concept_idを付与。</w:t>
      </w:r>
    </w:p>
    <w:p>
      <w:pPr>
        <w:pStyle w:val="ListBullet"/>
        <w:spacing w:after="40"/>
      </w:pPr>
      <w:r>
        <w:t>完全一致、単位変換一致、参照状態差、定義差を分類。</w:t>
      </w:r>
    </w:p>
    <w:p>
      <w:pPr>
        <w:pStyle w:val="ListBullet"/>
        <w:spacing w:after="40"/>
      </w:pPr>
      <w:r>
        <w:t>一致を期待する群は事前定義した絶対/相対許容差で比較。</w:t>
      </w:r>
    </w:p>
    <w:p>
      <w:pPr>
        <w:pStyle w:val="ListBullet"/>
        <w:spacing w:after="40"/>
      </w:pPr>
      <w:r>
        <w:t>異なる定義を持つ列は統合せず、その差をData Records/Usage Notesで説明。</w:t>
      </w:r>
    </w:p>
    <w:p>
      <w:pPr>
        <w:pStyle w:val="Heading2"/>
      </w:pPr>
      <w:r>
        <w:t>3.7 Interpretability classification</w:t>
      </w:r>
    </w:p>
    <w:p>
      <w:pPr>
        <w:pStyle w:val="ListBullet"/>
        <w:spacing w:after="40"/>
      </w:pPr>
      <w:r>
        <w:t>A-Gの判断規則を固定し、全5,200列を初回Tier・行列分割を隠したAI支援型盲検第二評価へ付した。</w:t>
      </w:r>
    </w:p>
    <w:p>
      <w:pPr>
        <w:pStyle w:val="ListBullet"/>
        <w:spacing w:after="40"/>
      </w:pPr>
      <w:r>
        <w:t>7分類のCohen's kappaは0.9607、Gを除くkappaは0.9189であり、事前目標0.80を満たした。</w:t>
      </w:r>
    </w:p>
    <w:p>
      <w:pPr>
        <w:pStyle w:val="ListBullet"/>
        <w:spacing w:after="40"/>
      </w:pPr>
      <w:r>
        <w:t>不一致120件を項目単位で裁定し、初回・第二評価・最終Tierと理由を保存した。公開CSV間を移動したのはMiedemaモデル量3列である。</w:t>
      </w:r>
    </w:p>
    <w:p>
      <w:pPr>
        <w:pStyle w:val="ListBullet"/>
        <w:spacing w:after="40"/>
      </w:pPr>
      <w:r>
        <w:t>モデルの潜在座標、人工演算、経験尺度、pair集約の境界事例を明示。</w:t>
      </w:r>
    </w:p>
    <w:p>
      <w:pPr>
        <w:pStyle w:val="Heading2"/>
      </w:pPr>
      <w:r>
        <w:t>3.8 Licence release gate</w:t>
      </w:r>
    </w:p>
    <w:p>
      <w:pPr>
        <w:pStyle w:val="ListBullet"/>
        <w:spacing w:after="40"/>
      </w:pPr>
      <w:r>
        <w:t>各sourceにライセンス証拠URLまたは保存ファイルを紐付ける。</w:t>
      </w:r>
    </w:p>
    <w:p>
      <w:pPr>
        <w:pStyle w:val="ListBullet"/>
        <w:spacing w:after="40"/>
      </w:pPr>
      <w:r>
        <w:t>GREENは義務をrelease文書へ実装、AMBERは未確定事項を閉じる。</w:t>
      </w:r>
    </w:p>
    <w:p>
      <w:pPr>
        <w:pStyle w:val="ListBullet"/>
        <w:spacing w:after="40"/>
      </w:pPr>
      <w:r>
        <w:t>HOLDは値を公開releaseから除外するか、明示許諾を取得する。</w:t>
      </w:r>
    </w:p>
    <w:p>
      <w:pPr>
        <w:pStyle w:val="ListBullet"/>
        <w:spacing w:after="40"/>
      </w:pPr>
      <w:r>
        <w:t>コード、独自metadata、第三者データ、model-derived vectorsのライセンスを分離。</w:t>
      </w:r>
    </w:p>
    <w:p>
      <w:pPr>
        <w:pStyle w:val="Heading1"/>
      </w:pPr>
      <w:r>
        <w:t>4. 数値許容差の原則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2835"/>
            <w:shd w:fill="17365D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236"/>
            <w:shd w:fill="17365D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推奨内容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文字列・カテゴリ・整数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完全一致。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入力値の直接コピー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原配布精度で完全一致。binary float比較時は abs&lt;=1e-12 または rel&lt;=1e-12を既定。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明示的単位変換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abs&lt;=1e-10×scale または rel&lt;=1e-10。変換式をmetadataに保存。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統計集約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同一欠損除外規則・ddof・重みで再計算し、rel&lt;=1e-10。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文献丸め値との照合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文献の最終有効桁の0.5 unit以内。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cross-source比較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品質評価であり原則pass/failにしない。equivalentと定義した群のみ閾値判定。</w:t>
            </w:r>
          </w:p>
        </w:tc>
      </w:tr>
    </w:tbl>
    <w:p>
      <w:pPr>
        <w:pStyle w:val="Heading1"/>
      </w:pPr>
      <w:r>
        <w:t>5. サンプリング仕様</w:t>
      </w:r>
    </w:p>
    <w:p>
      <w:pPr>
        <w:pStyle w:val="ListBullet"/>
        <w:spacing w:after="40"/>
      </w:pPr>
      <w:r>
        <w:t>source-registry 44件を母集団とし、公開GREEN 26件について直接照合を実施し、AMBER/HOLD 18件はローカル再構築で検証する。</w:t>
      </w:r>
    </w:p>
    <w:p>
      <w:pPr>
        <w:pStyle w:val="ListBullet"/>
        <w:spacing w:after="40"/>
      </w:pPr>
      <w:r>
        <w:t>feature countが10未満のsourceは全featureを対象にし、各featureから少なくとも2元素を選ぶ。</w:t>
      </w:r>
    </w:p>
    <w:p>
      <w:pPr>
        <w:pStyle w:val="ListBullet"/>
        <w:spacing w:after="40"/>
      </w:pPr>
      <w:r>
        <w:t>条件依存blockでは、電荷/配位/スピン/同位体/エネルギー条件の端点と代表値を含める。</w:t>
      </w:r>
    </w:p>
    <w:p>
      <w:pPr>
        <w:pStyle w:val="ListBullet"/>
        <w:spacing w:after="40"/>
      </w:pPr>
      <w:r>
        <w:t>欠損率が高いblockは、値あり元素と欠損元素を両方含める。</w:t>
      </w:r>
    </w:p>
    <w:p>
      <w:pPr>
        <w:pStyle w:val="ListBullet"/>
        <w:spacing w:after="40"/>
      </w:pPr>
      <w:r>
        <w:t>抽出seedを固定し、sample_manifest.csvにsource、feature、element、理由を保存する。</w:t>
      </w:r>
    </w:p>
    <w:p>
      <w:pPr>
        <w:pStyle w:val="Heading1"/>
      </w:pPr>
      <w:r>
        <w:t>6. 証拠ファイル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2835"/>
            <w:shd w:fill="17365D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236"/>
            <w:shd w:fill="17365D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推奨内容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validation_report.csv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全試験ID、状態、実測値、期待値、実行時刻、software commit。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source_fidelity_samples.csv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原値、変換前後値、許容差、差分、判定、原URL/ファイルhash。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physical_rule_violations.csv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規則、対象列・元素、値、原因分類、処置。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coverage_by_element.csv / coverage_by_block.csv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被覆率再計算の機械可読結果。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duplicate_concordance.csv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canonical concept、equivalence class、変換式、差分統計。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interpretability_adjudication.csv</w:t>
            </w:r>
          </w:p>
        </w:tc>
        <w:tc>
          <w:tcPr>
            <w:tcW w:type="dxa" w:w="6236"/>
            <w:vAlign w:val="top"/>
          </w:tcPr>
          <w:p>
            <w:r>
              <w:t>全120不一致の初回Tier、盲検第二評価Tier、裁定Tier、理由、公開分割への影響。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license_audit.xlsx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source/block単位の公開可否、義務、証拠、未解決action。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SHA256SUMS.txt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入力・出力・文書・図の固定版hash。</w:t>
            </w:r>
          </w:p>
        </w:tc>
      </w:tr>
    </w:tbl>
    <w:p>
      <w:pPr>
        <w:pStyle w:val="Heading1"/>
      </w:pPr>
      <w:r>
        <w:t>7. 本文への報告</w:t>
      </w:r>
    </w:p>
    <w:p>
      <w:pPr>
        <w:pStyle w:val="ListBullet"/>
        <w:spacing w:after="40"/>
      </w:pPr>
      <w:r>
        <w:t>本文Technical Validationでは、検証方法と主要な集計結果を記述し、全試験表はSupplementary/Repositoryへ置く。</w:t>
      </w:r>
    </w:p>
    <w:p>
      <w:pPr>
        <w:pStyle w:val="ListBullet"/>
        <w:spacing w:after="40"/>
      </w:pPr>
      <w:r>
        <w:t>PASS 33、PASS WITH NOTE 5、DEFERRED 2、FAIL 0に加え、対象source数、照合レコード数、最大差、例外件数、kappa、被覆率範囲を報告する。</w:t>
      </w:r>
    </w:p>
    <w:p>
      <w:pPr>
        <w:pStyle w:val="ListBullet"/>
        <w:spacing w:after="40"/>
      </w:pPr>
      <w:r>
        <w:t>元データ由来の不整合は修正して隠さず、原値保持と注記のどちらを採用したかを明記する。</w:t>
      </w:r>
    </w:p>
    <w:p>
      <w:pPr>
        <w:pStyle w:val="ListBullet"/>
        <w:spacing w:after="40"/>
      </w:pPr>
      <w:r>
        <w:t>公開版はGREEN出典のみとし、AMBER/HOLD由来3,434列を値配布から除外した。Tier裁定後の公開列数822/944を論文・README・manifestで一致させる。</w:t>
      </w:r>
    </w:p>
    <w:p>
      <w:pPr>
        <w:pStyle w:val="Heading1"/>
      </w:pPr>
      <w:r>
        <w:t>8. v1.0.0実行結果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2835"/>
            <w:shd w:fill="17365D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236"/>
            <w:shd w:fill="17365D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推奨内容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既存構造検証</w:t>
            </w:r>
          </w:p>
        </w:tc>
        <w:tc>
          <w:tcPr>
            <w:tcW w:type="dxa" w:w="6236"/>
            <w:vAlign w:val="top"/>
          </w:tcPr>
          <w:p>
            <w:r>
              <w:t>40 tests: PASS 33, PASS WITH NOTE 5, DEFERRED 2, FAIL 0.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現行hash</w:t>
            </w:r>
          </w:p>
        </w:tc>
        <w:tc>
          <w:tcPr>
            <w:tcW w:type="dxa" w:w="6236"/>
            <w:vAlign w:val="top"/>
          </w:tcPr>
          <w:p>
            <w:r>
              <w:t>element_data_interpretable.csv: 08cac3742cb9…; element_data_others.csv: 7db06c34073c….</w:t>
            </w:r>
          </w:p>
        </w:tc>
      </w:tr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追加必須</w:t>
            </w:r>
          </w:p>
        </w:tc>
        <w:tc>
          <w:tcPr>
            <w:tcW w:type="dxa" w:w="6236"/>
            <w:vAlign w:val="top"/>
          </w:tcPr>
          <w:p>
            <w:r>
              <w:t>TV-039 tagged GitHub CI and TV-040 DOI-archive hash equivalence. Human expert confirmation is recommended for TV-036 disclosure.</w:t>
            </w:r>
          </w:p>
        </w:tc>
      </w:tr>
    </w:tbl>
    <w:p>
      <w:pPr>
        <w:pStyle w:val="SmallNote"/>
      </w:pPr>
      <w:r>
        <w:t>TV-036開示：第二評価はAI支援型の盲検ルーブリック再評価であり、二人目の独立した人間評価者ではない。論文で人間評価者間一致を主張する場合は、専門家による別途確認を行う。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64748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64748B"/>
        <w:sz w:val="15"/>
      </w:rPr>
      <w:t>Technical Validation protocol | release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B7F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JP" w:hAnsi="Noto Sans CJK JP" w:eastAsia="Noto Sans CJK JP"/>
      <w:color w:val="52616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GREEN-only public release v1.0.0 Technical Validation protocol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