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7365D"/>
          <w:sz w:val="48"/>
        </w:rPr>
        <w:t>元素特徴量Tier分類</w:t>
        <w:br/>
        <w:t>第二評価者レビュー報告書</w:t>
      </w:r>
    </w:p>
    <w:p>
      <w:pPr>
        <w:jc w:val="center"/>
      </w:pPr>
      <w:r>
        <w:rPr>
          <w:rFonts w:ascii="Noto Sans CJK JP" w:hAnsi="Noto Sans CJK JP" w:eastAsia="Noto Sans CJK JP"/>
          <w:color w:val="2F75B5"/>
          <w:sz w:val="24"/>
        </w:rPr>
        <w:t>AI支援型の盲検ルーブリック再評価と暫定裁定</w:t>
      </w:r>
    </w:p>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5043"/>
        <w:gridCol w:w="5043"/>
      </w:tblGrid>
      <w:tr>
        <w:trPr>
          <w:tblHeader w:val="true"/>
          <w:cantSplit/>
        </w:trPr>
        <w:tc>
          <w:tcPr>
            <w:tcW w:type="dxa" w:w="2948"/>
            <w:shd w:fill="17365D"/>
            <w:vAlign w:val="center"/>
          </w:tcPr>
          <w:p>
            <w:pPr>
              <w:spacing w:after="0"/>
            </w:pPr>
            <w:r>
              <w:rPr>
                <w:rFonts w:ascii="Noto Sans CJK JP" w:hAnsi="Noto Sans CJK JP" w:eastAsia="Noto Sans CJK JP"/>
                <w:b/>
                <w:color w:val="FFFFFF"/>
                <w:sz w:val="16"/>
              </w:rPr>
              <w:t>項目</w:t>
            </w:r>
          </w:p>
        </w:tc>
        <w:tc>
          <w:tcPr>
            <w:tcW w:type="dxa" w:w="6123"/>
            <w:shd w:fill="17365D"/>
            <w:vAlign w:val="center"/>
          </w:tcPr>
          <w:p>
            <w:pPr>
              <w:spacing w:after="0"/>
            </w:pPr>
            <w:r>
              <w:rPr>
                <w:rFonts w:ascii="Noto Sans CJK JP" w:hAnsi="Noto Sans CJK JP" w:eastAsia="Noto Sans CJK JP"/>
                <w:b/>
                <w:color w:val="FFFFFF"/>
                <w:sz w:val="16"/>
              </w:rPr>
              <w:t>結果</w:t>
            </w:r>
          </w:p>
        </w:tc>
      </w:tr>
      <w:tr>
        <w:trPr>
          <w:cantSplit/>
        </w:trPr>
        <w:tc>
          <w:tcPr>
            <w:tcW w:type="dxa" w:w="2948"/>
            <w:vAlign w:val="top"/>
            <w:shd w:fill="EAF2F8"/>
          </w:tcPr>
          <w:p>
            <w:pPr>
              <w:spacing w:after="0"/>
            </w:pPr>
            <w:r>
              <w:rPr>
                <w:rFonts w:ascii="Noto Sans CJK JP" w:hAnsi="Noto Sans CJK JP" w:eastAsia="Noto Sans CJK JP"/>
                <w:b w:val="0"/>
                <w:color w:val="1F2933"/>
                <w:sz w:val="16"/>
              </w:rPr>
              <w:t>評価範囲</w:t>
            </w:r>
          </w:p>
        </w:tc>
        <w:tc>
          <w:tcPr>
            <w:tcW w:type="dxa" w:w="6123"/>
            <w:vAlign w:val="top"/>
          </w:tcPr>
          <w:p>
            <w:pPr>
              <w:spacing w:after="0"/>
            </w:pPr>
            <w:r>
              <w:rPr>
                <w:rFonts w:ascii="Noto Sans CJK JP" w:hAnsi="Noto Sans CJK JP" w:eastAsia="Noto Sans CJK JP"/>
                <w:b w:val="0"/>
                <w:color w:val="1F2933"/>
                <w:sz w:val="16"/>
              </w:rPr>
              <w:t>全5,200特徴量（公開1,766列＋ライセンス除外3,434列）</w:t>
            </w:r>
          </w:p>
        </w:tc>
      </w:tr>
      <w:tr>
        <w:trPr>
          <w:cantSplit/>
        </w:trPr>
        <w:tc>
          <w:tcPr>
            <w:tcW w:type="dxa" w:w="2948"/>
            <w:vAlign w:val="top"/>
            <w:shd w:fill="EAF2F8"/>
          </w:tcPr>
          <w:p>
            <w:pPr>
              <w:spacing w:after="0"/>
            </w:pPr>
            <w:r>
              <w:rPr>
                <w:rFonts w:ascii="Noto Sans CJK JP" w:hAnsi="Noto Sans CJK JP" w:eastAsia="Noto Sans CJK JP"/>
                <w:b w:val="0"/>
                <w:color w:val="1F2933"/>
                <w:sz w:val="16"/>
              </w:rPr>
              <w:t>評価方式</w:t>
            </w:r>
          </w:p>
        </w:tc>
        <w:tc>
          <w:tcPr>
            <w:tcW w:type="dxa" w:w="6123"/>
            <w:vAlign w:val="top"/>
          </w:tcPr>
          <w:p>
            <w:pPr>
              <w:spacing w:after="0"/>
            </w:pPr>
            <w:r>
              <w:rPr>
                <w:rFonts w:ascii="Noto Sans CJK JP" w:hAnsi="Noto Sans CJK JP" w:eastAsia="Noto Sans CJK JP"/>
                <w:b w:val="0"/>
                <w:color w:val="1F2933"/>
                <w:sz w:val="16"/>
              </w:rPr>
              <w:t>初回Tier・分割・curation列を除外した盲検入力に対する独立ルーブリック再分類</w:t>
            </w:r>
          </w:p>
        </w:tc>
      </w:tr>
      <w:tr>
        <w:trPr>
          <w:cantSplit/>
        </w:trPr>
        <w:tc>
          <w:tcPr>
            <w:tcW w:type="dxa" w:w="2948"/>
            <w:vAlign w:val="top"/>
            <w:shd w:fill="EAF2F8"/>
          </w:tcPr>
          <w:p>
            <w:pPr>
              <w:spacing w:after="0"/>
            </w:pPr>
            <w:r>
              <w:rPr>
                <w:rFonts w:ascii="Noto Sans CJK JP" w:hAnsi="Noto Sans CJK JP" w:eastAsia="Noto Sans CJK JP"/>
                <w:b w:val="0"/>
                <w:color w:val="1F2933"/>
                <w:sz w:val="16"/>
              </w:rPr>
              <w:t>完全一致</w:t>
            </w:r>
          </w:p>
        </w:tc>
        <w:tc>
          <w:tcPr>
            <w:tcW w:type="dxa" w:w="6123"/>
            <w:vAlign w:val="top"/>
          </w:tcPr>
          <w:p>
            <w:pPr>
              <w:spacing w:after="0"/>
            </w:pPr>
            <w:r>
              <w:rPr>
                <w:rFonts w:ascii="Noto Sans CJK JP" w:hAnsi="Noto Sans CJK JP" w:eastAsia="Noto Sans CJK JP"/>
                <w:b w:val="0"/>
                <w:color w:val="1F2933"/>
                <w:sz w:val="16"/>
              </w:rPr>
              <w:t>5,080 / 5,200（97.69%）</w:t>
            </w:r>
          </w:p>
        </w:tc>
      </w:tr>
      <w:tr>
        <w:trPr>
          <w:cantSplit/>
        </w:trPr>
        <w:tc>
          <w:tcPr>
            <w:tcW w:type="dxa" w:w="2948"/>
            <w:vAlign w:val="top"/>
            <w:shd w:fill="EAF2F8"/>
          </w:tcPr>
          <w:p>
            <w:pPr>
              <w:spacing w:after="0"/>
            </w:pPr>
            <w:r>
              <w:rPr>
                <w:rFonts w:ascii="Noto Sans CJK JP" w:hAnsi="Noto Sans CJK JP" w:eastAsia="Noto Sans CJK JP"/>
                <w:b w:val="0"/>
                <w:color w:val="1F2933"/>
                <w:sz w:val="16"/>
              </w:rPr>
              <w:t>Cohenのκ</w:t>
            </w:r>
          </w:p>
        </w:tc>
        <w:tc>
          <w:tcPr>
            <w:tcW w:type="dxa" w:w="6123"/>
            <w:vAlign w:val="top"/>
          </w:tcPr>
          <w:p>
            <w:pPr>
              <w:spacing w:after="0"/>
            </w:pPr>
            <w:r>
              <w:rPr>
                <w:rFonts w:ascii="Noto Sans CJK JP" w:hAnsi="Noto Sans CJK JP" w:eastAsia="Noto Sans CJK JP"/>
                <w:b w:val="0"/>
                <w:color w:val="1F2933"/>
                <w:sz w:val="16"/>
              </w:rPr>
              <w:t>0.9607（7分類、無重み）</w:t>
            </w:r>
          </w:p>
        </w:tc>
      </w:tr>
      <w:tr>
        <w:trPr>
          <w:cantSplit/>
        </w:trPr>
        <w:tc>
          <w:tcPr>
            <w:tcW w:type="dxa" w:w="2948"/>
            <w:vAlign w:val="top"/>
            <w:shd w:fill="EAF2F8"/>
          </w:tcPr>
          <w:p>
            <w:pPr>
              <w:spacing w:after="0"/>
            </w:pPr>
            <w:r>
              <w:rPr>
                <w:rFonts w:ascii="Noto Sans CJK JP" w:hAnsi="Noto Sans CJK JP" w:eastAsia="Noto Sans CJK JP"/>
                <w:b w:val="0"/>
                <w:color w:val="1F2933"/>
                <w:sz w:val="16"/>
              </w:rPr>
              <w:t>不一致・裁定</w:t>
            </w:r>
          </w:p>
        </w:tc>
        <w:tc>
          <w:tcPr>
            <w:tcW w:type="dxa" w:w="6123"/>
            <w:vAlign w:val="top"/>
          </w:tcPr>
          <w:p>
            <w:pPr>
              <w:spacing w:after="0"/>
            </w:pPr>
            <w:r>
              <w:rPr>
                <w:rFonts w:ascii="Noto Sans CJK JP" w:hAnsi="Noto Sans CJK JP" w:eastAsia="Noto Sans CJK JP"/>
                <w:b w:val="0"/>
                <w:color w:val="1F2933"/>
                <w:sz w:val="16"/>
              </w:rPr>
              <w:t>120件。操作的基準に従い第二評価Tierを暫定採用</w:t>
            </w:r>
          </w:p>
        </w:tc>
      </w:tr>
      <w:tr>
        <w:trPr>
          <w:cantSplit/>
        </w:trPr>
        <w:tc>
          <w:tcPr>
            <w:tcW w:type="dxa" w:w="2948"/>
            <w:vAlign w:val="top"/>
            <w:shd w:fill="EAF2F8"/>
          </w:tcPr>
          <w:p>
            <w:pPr>
              <w:spacing w:after="0"/>
            </w:pPr>
            <w:r>
              <w:rPr>
                <w:rFonts w:ascii="Noto Sans CJK JP" w:hAnsi="Noto Sans CJK JP" w:eastAsia="Noto Sans CJK JP"/>
                <w:b w:val="0"/>
                <w:color w:val="1F2933"/>
                <w:sz w:val="16"/>
              </w:rPr>
              <w:t>公開版への影響</w:t>
            </w:r>
          </w:p>
        </w:tc>
        <w:tc>
          <w:tcPr>
            <w:tcW w:type="dxa" w:w="6123"/>
            <w:vAlign w:val="top"/>
          </w:tcPr>
          <w:p>
            <w:pPr>
              <w:spacing w:after="0"/>
            </w:pPr>
            <w:r>
              <w:rPr>
                <w:rFonts w:ascii="Noto Sans CJK JP" w:hAnsi="Noto Sans CJK JP" w:eastAsia="Noto Sans CJK JP"/>
                <w:b w:val="0"/>
                <w:color w:val="1F2933"/>
                <w:sz w:val="16"/>
              </w:rPr>
              <w:t>3特徴量をinterpretableからothersへ移動することを推奨</w:t>
            </w:r>
          </w:p>
        </w:tc>
      </w:tr>
      <w:tr>
        <w:trPr>
          <w:cantSplit/>
        </w:trPr>
        <w:tc>
          <w:tcPr>
            <w:tcW w:type="dxa" w:w="2948"/>
            <w:vAlign w:val="top"/>
            <w:shd w:fill="EAF2F8"/>
          </w:tcPr>
          <w:p>
            <w:pPr>
              <w:spacing w:after="0"/>
            </w:pPr>
            <w:r>
              <w:rPr>
                <w:rFonts w:ascii="Noto Sans CJK JP" w:hAnsi="Noto Sans CJK JP" w:eastAsia="Noto Sans CJK JP"/>
                <w:b w:val="0"/>
                <w:color w:val="1F2933"/>
                <w:sz w:val="16"/>
              </w:rPr>
              <w:t>TV-036</w:t>
            </w:r>
          </w:p>
        </w:tc>
        <w:tc>
          <w:tcPr>
            <w:tcW w:type="dxa" w:w="6123"/>
            <w:vAlign w:val="top"/>
          </w:tcPr>
          <w:p>
            <w:pPr>
              <w:spacing w:after="0"/>
            </w:pPr>
            <w:r>
              <w:rPr>
                <w:rFonts w:ascii="Noto Sans CJK JP" w:hAnsi="Noto Sans CJK JP" w:eastAsia="Noto Sans CJK JP"/>
                <w:b w:val="0"/>
                <w:color w:val="1F2933"/>
                <w:sz w:val="16"/>
              </w:rPr>
              <w:t>PASS WITH NOTE</w:t>
            </w:r>
          </w:p>
        </w:tc>
      </w:tr>
    </w:tbl>
    <w:p/>
    <w:p>
      <w:pPr>
        <w:pStyle w:val="SmallNote"/>
        <w:jc w:val="center"/>
      </w:pPr>
      <w:r>
        <w:t>作成日：2026-07-18　|　第二評価者：AI支援型のルーブリック再評価（人間の独立評価者ではない）</w:t>
      </w:r>
    </w:p>
    <w:p>
      <w:r>
        <w:br w:type="page"/>
      </w:r>
    </w:p>
    <w:p>
      <w:pPr>
        <w:pStyle w:val="Heading1"/>
      </w:pPr>
      <w:r>
        <w:t>1. 目的と結論</w:t>
      </w:r>
    </w:p>
    <w:p>
      <w:r>
        <w:t>本レビューの目的は、元素特徴量に付与したA–Gの解釈可能性Tierが、初回評価者の判断に過度に依存せず、明文化した操作的基準から再現できるかを検証することである。全5,200特徴量を対象とし、初回Tier、データセット分割、interpretability decision、interpretability class、curation rule等を第二評価者用入力から除外した。</w:t>
      </w:r>
    </w:p>
    <w:p>
      <w:r>
        <w:t>初回評価と第二評価は5,080特徴量で一致し、完全一致率は97.69%、7分類のCohenのκは0.9607であった。学習済み表現Gを除く2,034特徴量でもκ=0.9189であり、事前目標の0.80を上回った。A–CとD–Gの二値分割では一致率99.88%、κ=0.9973であった。</w:t>
      </w:r>
    </w:p>
    <w:p>
      <w:r>
        <w:t>したがって、Tier体系の大枠、とくにE（人工演算）、F（元素対集約）、G（学習済み・符号化表現）の判定は高い再現性を示した。一方、A、B、Cの境界では、直接転記値と条件依存値、ならびに直接値と透明な派生量の区別をさらに厳密化する余地が認められた。</w:t>
      </w:r>
    </w:p>
    <w:p>
      <w:pPr>
        <w:pStyle w:val="Heading1"/>
      </w:pPr>
      <w:r>
        <w:t>2. 第二評価者の盲検手順</w:t>
      </w:r>
    </w:p>
    <w:p>
      <w:r>
        <w:t>第二評価者には、特徴量名、特徴量ブロック、出典、版、feature type、説明、単位、数式、入力特徴量、参照状態、電荷、同位体、軌道・殻、温度・圧力、光子・電子エネルギー、結晶条件等のみを提示した。初回のTierおよび分割判断を示す列は分類完了後まで参照しなかった。</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5043"/>
        <w:gridCol w:w="5043"/>
      </w:tblGrid>
      <w:tr>
        <w:trPr>
          <w:tblHeader w:val="true"/>
          <w:cantSplit/>
        </w:trPr>
        <w:tc>
          <w:tcPr>
            <w:tcW w:type="dxa" w:w="4535"/>
            <w:shd w:fill="1B7F79"/>
            <w:vAlign w:val="center"/>
          </w:tcPr>
          <w:p>
            <w:pPr>
              <w:spacing w:after="0"/>
            </w:pPr>
            <w:r>
              <w:rPr>
                <w:rFonts w:ascii="Noto Sans CJK JP" w:hAnsi="Noto Sans CJK JP" w:eastAsia="Noto Sans CJK JP"/>
                <w:b/>
                <w:color w:val="FFFFFF"/>
                <w:sz w:val="16"/>
              </w:rPr>
              <w:t>入力に含めた情報</w:t>
            </w:r>
          </w:p>
        </w:tc>
        <w:tc>
          <w:tcPr>
            <w:tcW w:type="dxa" w:w="4535"/>
            <w:shd w:fill="1B7F79"/>
            <w:vAlign w:val="center"/>
          </w:tcPr>
          <w:p>
            <w:pPr>
              <w:spacing w:after="0"/>
            </w:pPr>
            <w:r>
              <w:rPr>
                <w:rFonts w:ascii="Noto Sans CJK JP" w:hAnsi="Noto Sans CJK JP" w:eastAsia="Noto Sans CJK JP"/>
                <w:b/>
                <w:color w:val="FFFFFF"/>
                <w:sz w:val="16"/>
              </w:rPr>
              <w:t>入力から除外した情報</w:t>
            </w:r>
          </w:p>
        </w:tc>
      </w:tr>
      <w:tr>
        <w:trPr>
          <w:cantSplit/>
        </w:trPr>
        <w:tc>
          <w:tcPr>
            <w:tcW w:type="dxa" w:w="4535"/>
            <w:vAlign w:val="top"/>
            <w:shd w:fill="EAF2F8"/>
          </w:tcPr>
          <w:p>
            <w:pPr>
              <w:spacing w:after="0"/>
            </w:pPr>
            <w:r>
              <w:rPr>
                <w:rFonts w:ascii="Noto Sans CJK JP" w:hAnsi="Noto Sans CJK JP" w:eastAsia="Noto Sans CJK JP"/>
                <w:b w:val="0"/>
                <w:color w:val="1F2933"/>
                <w:sz w:val="16"/>
              </w:rPr>
              <w:t>feature_name、feature_block</w:t>
            </w:r>
          </w:p>
        </w:tc>
        <w:tc>
          <w:tcPr>
            <w:tcW w:type="dxa" w:w="4535"/>
            <w:vAlign w:val="top"/>
          </w:tcPr>
          <w:p>
            <w:pPr>
              <w:spacing w:after="0"/>
            </w:pPr>
            <w:r>
              <w:rPr>
                <w:rFonts w:ascii="Noto Sans CJK JP" w:hAnsi="Noto Sans CJK JP" w:eastAsia="Noto Sans CJK JP"/>
                <w:b w:val="0"/>
                <w:color w:val="1F2933"/>
                <w:sz w:val="16"/>
              </w:rPr>
              <w:t>interpretability_tier、tier_label</w:t>
            </w:r>
          </w:p>
        </w:tc>
      </w:tr>
      <w:tr>
        <w:trPr>
          <w:cantSplit/>
        </w:trPr>
        <w:tc>
          <w:tcPr>
            <w:tcW w:type="dxa" w:w="4535"/>
            <w:vAlign w:val="top"/>
            <w:shd w:fill="EAF2F8"/>
          </w:tcPr>
          <w:p>
            <w:pPr>
              <w:spacing w:after="0"/>
            </w:pPr>
            <w:r>
              <w:rPr>
                <w:rFonts w:ascii="Noto Sans CJK JP" w:hAnsi="Noto Sans CJK JP" w:eastAsia="Noto Sans CJK JP"/>
                <w:b w:val="0"/>
                <w:color w:val="1F2933"/>
                <w:sz w:val="16"/>
              </w:rPr>
              <w:t>source、version、description、unit</w:t>
            </w:r>
          </w:p>
        </w:tc>
        <w:tc>
          <w:tcPr>
            <w:tcW w:type="dxa" w:w="4535"/>
            <w:vAlign w:val="top"/>
          </w:tcPr>
          <w:p>
            <w:pPr>
              <w:spacing w:after="0"/>
            </w:pPr>
            <w:r>
              <w:rPr>
                <w:rFonts w:ascii="Noto Sans CJK JP" w:hAnsi="Noto Sans CJK JP" w:eastAsia="Noto Sans CJK JP"/>
                <w:b w:val="0"/>
                <w:color w:val="1F2933"/>
                <w:sz w:val="16"/>
              </w:rPr>
              <w:t>dataset_file、dataset_partition、partition_reason</w:t>
            </w:r>
          </w:p>
        </w:tc>
      </w:tr>
      <w:tr>
        <w:trPr>
          <w:cantSplit/>
        </w:trPr>
        <w:tc>
          <w:tcPr>
            <w:tcW w:type="dxa" w:w="4535"/>
            <w:vAlign w:val="top"/>
            <w:shd w:fill="EAF2F8"/>
          </w:tcPr>
          <w:p>
            <w:pPr>
              <w:spacing w:after="0"/>
            </w:pPr>
            <w:r>
              <w:rPr>
                <w:rFonts w:ascii="Noto Sans CJK JP" w:hAnsi="Noto Sans CJK JP" w:eastAsia="Noto Sans CJK JP"/>
                <w:b w:val="0"/>
                <w:color w:val="1F2933"/>
                <w:sz w:val="16"/>
              </w:rPr>
              <w:t>formula、input_features</w:t>
            </w:r>
          </w:p>
        </w:tc>
        <w:tc>
          <w:tcPr>
            <w:tcW w:type="dxa" w:w="4535"/>
            <w:vAlign w:val="top"/>
          </w:tcPr>
          <w:p>
            <w:pPr>
              <w:spacing w:after="0"/>
            </w:pPr>
            <w:r>
              <w:rPr>
                <w:rFonts w:ascii="Noto Sans CJK JP" w:hAnsi="Noto Sans CJK JP" w:eastAsia="Noto Sans CJK JP"/>
                <w:b w:val="0"/>
                <w:color w:val="1F2933"/>
                <w:sz w:val="16"/>
              </w:rPr>
              <w:t>interpretability_decision、interpretability_class</w:t>
            </w:r>
          </w:p>
        </w:tc>
      </w:tr>
      <w:tr>
        <w:trPr>
          <w:cantSplit/>
        </w:trPr>
        <w:tc>
          <w:tcPr>
            <w:tcW w:type="dxa" w:w="4535"/>
            <w:vAlign w:val="top"/>
            <w:shd w:fill="EAF2F8"/>
          </w:tcPr>
          <w:p>
            <w:pPr>
              <w:spacing w:after="0"/>
            </w:pPr>
            <w:r>
              <w:rPr>
                <w:rFonts w:ascii="Noto Sans CJK JP" w:hAnsi="Noto Sans CJK JP" w:eastAsia="Noto Sans CJK JP"/>
                <w:b w:val="0"/>
                <w:color w:val="1F2933"/>
                <w:sz w:val="16"/>
              </w:rPr>
              <w:t>condition fields、calculation method</w:t>
            </w:r>
          </w:p>
        </w:tc>
        <w:tc>
          <w:tcPr>
            <w:tcW w:type="dxa" w:w="4535"/>
            <w:vAlign w:val="top"/>
          </w:tcPr>
          <w:p>
            <w:pPr>
              <w:spacing w:after="0"/>
            </w:pPr>
            <w:r>
              <w:rPr>
                <w:rFonts w:ascii="Noto Sans CJK JP" w:hAnsi="Noto Sans CJK JP" w:eastAsia="Noto Sans CJK JP"/>
                <w:b w:val="0"/>
                <w:color w:val="1F2933"/>
                <w:sz w:val="16"/>
              </w:rPr>
              <w:t>curation_rule、curation_notes</w:t>
            </w:r>
          </w:p>
        </w:tc>
      </w:tr>
      <w:tr>
        <w:trPr>
          <w:cantSplit/>
        </w:trPr>
        <w:tc>
          <w:tcPr>
            <w:tcW w:type="dxa" w:w="4535"/>
            <w:vAlign w:val="top"/>
            <w:shd w:fill="EAF2F8"/>
          </w:tcPr>
          <w:p>
            <w:pPr>
              <w:spacing w:after="0"/>
            </w:pPr>
            <w:r>
              <w:rPr>
                <w:rFonts w:ascii="Noto Sans CJK JP" w:hAnsi="Noto Sans CJK JP" w:eastAsia="Noto Sans CJK JP"/>
                <w:b w:val="0"/>
                <w:color w:val="1F2933"/>
                <w:sz w:val="16"/>
              </w:rPr>
              <w:t>source quality</w:t>
            </w:r>
          </w:p>
        </w:tc>
        <w:tc>
          <w:tcPr>
            <w:tcW w:type="dxa" w:w="4535"/>
            <w:vAlign w:val="top"/>
          </w:tcPr>
          <w:p>
            <w:pPr>
              <w:spacing w:after="0"/>
            </w:pPr>
            <w:r>
              <w:rPr>
                <w:rFonts w:ascii="Noto Sans CJK JP" w:hAnsi="Noto Sans CJK JP" w:eastAsia="Noto Sans CJK JP"/>
                <w:b w:val="0"/>
                <w:color w:val="1F2933"/>
                <w:sz w:val="16"/>
              </w:rPr>
              <w:t>include_in_recommended_main</w:t>
            </w:r>
          </w:p>
        </w:tc>
      </w:tr>
    </w:tbl>
    <w:p>
      <w:pPr>
        <w:pStyle w:val="Heading1"/>
      </w:pPr>
      <w:r>
        <w:t>3. 操作的Tier基準</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3362"/>
        <w:gridCol w:w="3362"/>
        <w:gridCol w:w="3362"/>
      </w:tblGrid>
      <w:tr>
        <w:trPr>
          <w:tblHeader w:val="true"/>
          <w:cantSplit/>
        </w:trPr>
        <w:tc>
          <w:tcPr>
            <w:tcW w:type="dxa" w:w="737"/>
            <w:shd w:fill="17365D"/>
            <w:vAlign w:val="center"/>
          </w:tcPr>
          <w:p>
            <w:pPr>
              <w:spacing w:after="0"/>
            </w:pPr>
            <w:r>
              <w:rPr>
                <w:rFonts w:ascii="Noto Sans CJK JP" w:hAnsi="Noto Sans CJK JP" w:eastAsia="Noto Sans CJK JP"/>
                <w:b/>
                <w:color w:val="FFFFFF"/>
                <w:sz w:val="16"/>
              </w:rPr>
              <w:t>Tier</w:t>
            </w:r>
          </w:p>
        </w:tc>
        <w:tc>
          <w:tcPr>
            <w:tcW w:type="dxa" w:w="2835"/>
            <w:shd w:fill="17365D"/>
            <w:vAlign w:val="center"/>
          </w:tcPr>
          <w:p>
            <w:pPr>
              <w:spacing w:after="0"/>
            </w:pPr>
            <w:r>
              <w:rPr>
                <w:rFonts w:ascii="Noto Sans CJK JP" w:hAnsi="Noto Sans CJK JP" w:eastAsia="Noto Sans CJK JP"/>
                <w:b/>
                <w:color w:val="FFFFFF"/>
                <w:sz w:val="16"/>
              </w:rPr>
              <w:t>名称</w:t>
            </w:r>
          </w:p>
        </w:tc>
        <w:tc>
          <w:tcPr>
            <w:tcW w:type="dxa" w:w="5499"/>
            <w:shd w:fill="17365D"/>
            <w:vAlign w:val="center"/>
          </w:tcPr>
          <w:p>
            <w:pPr>
              <w:spacing w:after="0"/>
            </w:pPr>
            <w:r>
              <w:rPr>
                <w:rFonts w:ascii="Noto Sans CJK JP" w:hAnsi="Noto Sans CJK JP" w:eastAsia="Noto Sans CJK JP"/>
                <w:b/>
                <w:color w:val="FFFFFF"/>
                <w:sz w:val="16"/>
              </w:rPr>
              <w:t>判定基準</w:t>
            </w:r>
          </w:p>
        </w:tc>
      </w:tr>
      <w:tr>
        <w:trPr>
          <w:cantSplit/>
        </w:trPr>
        <w:tc>
          <w:tcPr>
            <w:tcW w:type="dxa" w:w="737"/>
            <w:vAlign w:val="top"/>
            <w:shd w:fill="EAF2F8"/>
          </w:tcPr>
          <w:p>
            <w:pPr>
              <w:spacing w:after="0"/>
            </w:pPr>
            <w:r>
              <w:rPr>
                <w:rFonts w:ascii="Noto Sans CJK JP" w:hAnsi="Noto Sans CJK JP" w:eastAsia="Noto Sans CJK JP"/>
                <w:b w:val="0"/>
                <w:color w:val="1F2933"/>
                <w:sz w:val="16"/>
              </w:rPr>
              <w:t>A</w:t>
            </w:r>
          </w:p>
        </w:tc>
        <w:tc>
          <w:tcPr>
            <w:tcW w:type="dxa" w:w="2835"/>
            <w:vAlign w:val="top"/>
          </w:tcPr>
          <w:p>
            <w:pPr>
              <w:spacing w:after="0"/>
            </w:pPr>
            <w:r>
              <w:rPr>
                <w:rFonts w:ascii="Noto Sans CJK JP" w:hAnsi="Noto Sans CJK JP" w:eastAsia="Noto Sans CJK JP"/>
                <w:b w:val="0"/>
                <w:color w:val="1F2933"/>
                <w:sz w:val="16"/>
              </w:rPr>
              <w:t>直接的な元素・原子物性または明示的カテゴリ</w:t>
            </w:r>
          </w:p>
        </w:tc>
        <w:tc>
          <w:tcPr>
            <w:tcW w:type="dxa" w:w="5499"/>
            <w:vAlign w:val="top"/>
          </w:tcPr>
          <w:p>
            <w:pPr>
              <w:spacing w:after="0"/>
            </w:pPr>
            <w:r>
              <w:rPr>
                <w:rFonts w:ascii="Noto Sans CJK JP" w:hAnsi="Noto Sans CJK JP" w:eastAsia="Noto Sans CJK JP"/>
                <w:b w:val="0"/>
                <w:color w:val="1F2933"/>
                <w:sz w:val="16"/>
              </w:rPr>
              <w:t>出典表から直接転記された名前付き量、または意味が明示されたカテゴリ。</w:t>
            </w:r>
          </w:p>
        </w:tc>
      </w:tr>
      <w:tr>
        <w:trPr>
          <w:cantSplit/>
        </w:trPr>
        <w:tc>
          <w:tcPr>
            <w:tcW w:type="dxa" w:w="737"/>
            <w:vAlign w:val="top"/>
            <w:shd w:fill="EAF2F8"/>
          </w:tcPr>
          <w:p>
            <w:pPr>
              <w:spacing w:after="0"/>
            </w:pPr>
            <w:r>
              <w:rPr>
                <w:rFonts w:ascii="Noto Sans CJK JP" w:hAnsi="Noto Sans CJK JP" w:eastAsia="Noto Sans CJK JP"/>
                <w:b w:val="0"/>
                <w:color w:val="1F2933"/>
                <w:sz w:val="16"/>
              </w:rPr>
              <w:t>B</w:t>
            </w:r>
          </w:p>
        </w:tc>
        <w:tc>
          <w:tcPr>
            <w:tcW w:type="dxa" w:w="2835"/>
            <w:vAlign w:val="top"/>
          </w:tcPr>
          <w:p>
            <w:pPr>
              <w:spacing w:after="0"/>
            </w:pPr>
            <w:r>
              <w:rPr>
                <w:rFonts w:ascii="Noto Sans CJK JP" w:hAnsi="Noto Sans CJK JP" w:eastAsia="Noto Sans CJK JP"/>
                <w:b w:val="0"/>
                <w:color w:val="1F2933"/>
                <w:sz w:val="16"/>
              </w:rPr>
              <w:t>条件を明示した直接量</w:t>
            </w:r>
          </w:p>
        </w:tc>
        <w:tc>
          <w:tcPr>
            <w:tcW w:type="dxa" w:w="5499"/>
            <w:vAlign w:val="top"/>
          </w:tcPr>
          <w:p>
            <w:pPr>
              <w:spacing w:after="0"/>
            </w:pPr>
            <w:r>
              <w:rPr>
                <w:rFonts w:ascii="Noto Sans CJK JP" w:hAnsi="Noto Sans CJK JP" w:eastAsia="Noto Sans CJK JP"/>
                <w:b w:val="0"/>
                <w:color w:val="1F2933"/>
                <w:sz w:val="16"/>
              </w:rPr>
              <w:t>電荷、イオン化段階、殻・軌道、エネルギー、同位体組成、結晶テンソル成分等に条件付けられた直接値。</w:t>
            </w:r>
          </w:p>
        </w:tc>
      </w:tr>
      <w:tr>
        <w:trPr>
          <w:cantSplit/>
        </w:trPr>
        <w:tc>
          <w:tcPr>
            <w:tcW w:type="dxa" w:w="737"/>
            <w:vAlign w:val="top"/>
            <w:shd w:fill="EAF2F8"/>
          </w:tcPr>
          <w:p>
            <w:pPr>
              <w:spacing w:after="0"/>
            </w:pPr>
            <w:r>
              <w:rPr>
                <w:rFonts w:ascii="Noto Sans CJK JP" w:hAnsi="Noto Sans CJK JP" w:eastAsia="Noto Sans CJK JP"/>
                <w:b w:val="0"/>
                <w:color w:val="1F2933"/>
                <w:sz w:val="16"/>
              </w:rPr>
              <w:t>C</w:t>
            </w:r>
          </w:p>
        </w:tc>
        <w:tc>
          <w:tcPr>
            <w:tcW w:type="dxa" w:w="2835"/>
            <w:vAlign w:val="top"/>
          </w:tcPr>
          <w:p>
            <w:pPr>
              <w:spacing w:after="0"/>
            </w:pPr>
            <w:r>
              <w:rPr>
                <w:rFonts w:ascii="Noto Sans CJK JP" w:hAnsi="Noto Sans CJK JP" w:eastAsia="Noto Sans CJK JP"/>
                <w:b w:val="0"/>
                <w:color w:val="1F2933"/>
                <w:sz w:val="16"/>
              </w:rPr>
              <w:t>透明な派生量</w:t>
            </w:r>
          </w:p>
        </w:tc>
        <w:tc>
          <w:tcPr>
            <w:tcW w:type="dxa" w:w="5499"/>
            <w:vAlign w:val="top"/>
          </w:tcPr>
          <w:p>
            <w:pPr>
              <w:spacing w:after="0"/>
            </w:pPr>
            <w:r>
              <w:rPr>
                <w:rFonts w:ascii="Noto Sans CJK JP" w:hAnsi="Noto Sans CJK JP" w:eastAsia="Noto Sans CJK JP"/>
                <w:b w:val="0"/>
                <w:color w:val="1F2933"/>
                <w:sz w:val="16"/>
              </w:rPr>
              <w:t>式、解析、集約、比率、対数、カウント、フラグ化等により入力から再計算可能な量。</w:t>
            </w:r>
          </w:p>
        </w:tc>
      </w:tr>
      <w:tr>
        <w:trPr>
          <w:cantSplit/>
        </w:trPr>
        <w:tc>
          <w:tcPr>
            <w:tcW w:type="dxa" w:w="737"/>
            <w:vAlign w:val="top"/>
            <w:shd w:fill="EAF2F8"/>
          </w:tcPr>
          <w:p>
            <w:pPr>
              <w:spacing w:after="0"/>
            </w:pPr>
            <w:r>
              <w:rPr>
                <w:rFonts w:ascii="Noto Sans CJK JP" w:hAnsi="Noto Sans CJK JP" w:eastAsia="Noto Sans CJK JP"/>
                <w:b w:val="0"/>
                <w:color w:val="1F2933"/>
                <w:sz w:val="16"/>
              </w:rPr>
              <w:t>D</w:t>
            </w:r>
          </w:p>
        </w:tc>
        <w:tc>
          <w:tcPr>
            <w:tcW w:type="dxa" w:w="2835"/>
            <w:vAlign w:val="top"/>
          </w:tcPr>
          <w:p>
            <w:pPr>
              <w:spacing w:after="0"/>
            </w:pPr>
            <w:r>
              <w:rPr>
                <w:rFonts w:ascii="Noto Sans CJK JP" w:hAnsi="Noto Sans CJK JP" w:eastAsia="Noto Sans CJK JP"/>
                <w:b w:val="0"/>
                <w:color w:val="1F2933"/>
                <w:sz w:val="16"/>
              </w:rPr>
              <w:t>経験的・文脈依存補助量</w:t>
            </w:r>
          </w:p>
        </w:tc>
        <w:tc>
          <w:tcPr>
            <w:tcW w:type="dxa" w:w="5499"/>
            <w:vAlign w:val="top"/>
          </w:tcPr>
          <w:p>
            <w:pPr>
              <w:spacing w:after="0"/>
            </w:pPr>
            <w:r>
              <w:rPr>
                <w:rFonts w:ascii="Noto Sans CJK JP" w:hAnsi="Noto Sans CJK JP" w:eastAsia="Noto Sans CJK JP"/>
                <w:b w:val="0"/>
                <w:color w:val="1F2933"/>
                <w:sz w:val="16"/>
              </w:rPr>
              <w:t>経験的順序尺度、社会経済・歴史・地球化学文脈、特定モデルの経験パラメータ。</w:t>
            </w:r>
          </w:p>
        </w:tc>
      </w:tr>
      <w:tr>
        <w:trPr>
          <w:cantSplit/>
        </w:trPr>
        <w:tc>
          <w:tcPr>
            <w:tcW w:type="dxa" w:w="737"/>
            <w:vAlign w:val="top"/>
            <w:shd w:fill="EAF2F8"/>
          </w:tcPr>
          <w:p>
            <w:pPr>
              <w:spacing w:after="0"/>
            </w:pPr>
            <w:r>
              <w:rPr>
                <w:rFonts w:ascii="Noto Sans CJK JP" w:hAnsi="Noto Sans CJK JP" w:eastAsia="Noto Sans CJK JP"/>
                <w:b w:val="0"/>
                <w:color w:val="1F2933"/>
                <w:sz w:val="16"/>
              </w:rPr>
              <w:t>E</w:t>
            </w:r>
          </w:p>
        </w:tc>
        <w:tc>
          <w:tcPr>
            <w:tcW w:type="dxa" w:w="2835"/>
            <w:vAlign w:val="top"/>
          </w:tcPr>
          <w:p>
            <w:pPr>
              <w:spacing w:after="0"/>
            </w:pPr>
            <w:r>
              <w:rPr>
                <w:rFonts w:ascii="Noto Sans CJK JP" w:hAnsi="Noto Sans CJK JP" w:eastAsia="Noto Sans CJK JP"/>
                <w:b w:val="0"/>
                <w:color w:val="1F2933"/>
                <w:sz w:val="16"/>
              </w:rPr>
              <w:t>人工的演算補助量</w:t>
            </w:r>
          </w:p>
        </w:tc>
        <w:tc>
          <w:tcPr>
            <w:tcW w:type="dxa" w:w="5499"/>
            <w:vAlign w:val="top"/>
          </w:tcPr>
          <w:p>
            <w:pPr>
              <w:spacing w:after="0"/>
            </w:pPr>
            <w:r>
              <w:rPr>
                <w:rFonts w:ascii="Noto Sans CJK JP" w:hAnsi="Noto Sans CJK JP" w:eastAsia="Noto Sans CJK JP"/>
                <w:b w:val="0"/>
                <w:color w:val="1F2933"/>
                <w:sz w:val="16"/>
              </w:rPr>
              <w:t>元特徴量の機械的な加算・減算・乗算・除算。</w:t>
            </w:r>
          </w:p>
        </w:tc>
      </w:tr>
      <w:tr>
        <w:trPr>
          <w:cantSplit/>
        </w:trPr>
        <w:tc>
          <w:tcPr>
            <w:tcW w:type="dxa" w:w="737"/>
            <w:vAlign w:val="top"/>
            <w:shd w:fill="EAF2F8"/>
          </w:tcPr>
          <w:p>
            <w:pPr>
              <w:spacing w:after="0"/>
            </w:pPr>
            <w:r>
              <w:rPr>
                <w:rFonts w:ascii="Noto Sans CJK JP" w:hAnsi="Noto Sans CJK JP" w:eastAsia="Noto Sans CJK JP"/>
                <w:b w:val="0"/>
                <w:color w:val="1F2933"/>
                <w:sz w:val="16"/>
              </w:rPr>
              <w:t>F</w:t>
            </w:r>
          </w:p>
        </w:tc>
        <w:tc>
          <w:tcPr>
            <w:tcW w:type="dxa" w:w="2835"/>
            <w:vAlign w:val="top"/>
          </w:tcPr>
          <w:p>
            <w:pPr>
              <w:spacing w:after="0"/>
            </w:pPr>
            <w:r>
              <w:rPr>
                <w:rFonts w:ascii="Noto Sans CJK JP" w:hAnsi="Noto Sans CJK JP" w:eastAsia="Noto Sans CJK JP"/>
                <w:b w:val="0"/>
                <w:color w:val="1F2933"/>
                <w:sz w:val="16"/>
              </w:rPr>
              <w:t>元素対関係補助量</w:t>
            </w:r>
          </w:p>
        </w:tc>
        <w:tc>
          <w:tcPr>
            <w:tcW w:type="dxa" w:w="5499"/>
            <w:vAlign w:val="top"/>
          </w:tcPr>
          <w:p>
            <w:pPr>
              <w:spacing w:after="0"/>
            </w:pPr>
            <w:r>
              <w:rPr>
                <w:rFonts w:ascii="Noto Sans CJK JP" w:hAnsi="Noto Sans CJK JP" w:eastAsia="Noto Sans CJK JP"/>
                <w:b w:val="0"/>
                <w:color w:val="1F2933"/>
                <w:sz w:val="16"/>
              </w:rPr>
              <w:t>元素対情報を相手元素横断で集約した量。</w:t>
            </w:r>
          </w:p>
        </w:tc>
      </w:tr>
      <w:tr>
        <w:trPr>
          <w:cantSplit/>
        </w:trPr>
        <w:tc>
          <w:tcPr>
            <w:tcW w:type="dxa" w:w="737"/>
            <w:vAlign w:val="top"/>
            <w:shd w:fill="EAF2F8"/>
          </w:tcPr>
          <w:p>
            <w:pPr>
              <w:spacing w:after="0"/>
            </w:pPr>
            <w:r>
              <w:rPr>
                <w:rFonts w:ascii="Noto Sans CJK JP" w:hAnsi="Noto Sans CJK JP" w:eastAsia="Noto Sans CJK JP"/>
                <w:b w:val="0"/>
                <w:color w:val="1F2933"/>
                <w:sz w:val="16"/>
              </w:rPr>
              <w:t>G</w:t>
            </w:r>
          </w:p>
        </w:tc>
        <w:tc>
          <w:tcPr>
            <w:tcW w:type="dxa" w:w="2835"/>
            <w:vAlign w:val="top"/>
          </w:tcPr>
          <w:p>
            <w:pPr>
              <w:spacing w:after="0"/>
            </w:pPr>
            <w:r>
              <w:rPr>
                <w:rFonts w:ascii="Noto Sans CJK JP" w:hAnsi="Noto Sans CJK JP" w:eastAsia="Noto Sans CJK JP"/>
                <w:b w:val="0"/>
                <w:color w:val="1F2933"/>
                <w:sz w:val="16"/>
              </w:rPr>
              <w:t>非解釈可能な学習済み・符号化表現</w:t>
            </w:r>
          </w:p>
        </w:tc>
        <w:tc>
          <w:tcPr>
            <w:tcW w:type="dxa" w:w="5499"/>
            <w:vAlign w:val="top"/>
          </w:tcPr>
          <w:p>
            <w:pPr>
              <w:spacing w:after="0"/>
            </w:pPr>
            <w:r>
              <w:rPr>
                <w:rFonts w:ascii="Noto Sans CJK JP" w:hAnsi="Noto Sans CJK JP" w:eastAsia="Noto Sans CJK JP"/>
                <w:b w:val="0"/>
                <w:color w:val="1F2933"/>
                <w:sz w:val="16"/>
              </w:rPr>
              <w:t>各座標に独立した物理的定義がない学習済みまたは匿名符号化ベクトル。</w:t>
            </w:r>
          </w:p>
        </w:tc>
      </w:tr>
    </w:tbl>
    <w:p>
      <w:pPr>
        <w:pStyle w:val="Heading1"/>
      </w:pPr>
      <w:r>
        <w:t>4. 一致度の結果</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2017"/>
        <w:gridCol w:w="2017"/>
        <w:gridCol w:w="2017"/>
        <w:gridCol w:w="2017"/>
        <w:gridCol w:w="2017"/>
      </w:tblGrid>
      <w:tr>
        <w:trPr>
          <w:tblHeader w:val="true"/>
          <w:cantSplit/>
        </w:trPr>
        <w:tc>
          <w:tcPr>
            <w:tcW w:type="dxa" w:w="2268"/>
            <w:shd w:fill="2F75B5"/>
            <w:vAlign w:val="center"/>
          </w:tcPr>
          <w:p>
            <w:pPr>
              <w:spacing w:after="0"/>
            </w:pPr>
            <w:r>
              <w:rPr>
                <w:rFonts w:ascii="Noto Sans CJK JP" w:hAnsi="Noto Sans CJK JP" w:eastAsia="Noto Sans CJK JP"/>
                <w:b/>
                <w:color w:val="FFFFFF"/>
                <w:sz w:val="16"/>
              </w:rPr>
              <w:t>範囲</w:t>
            </w:r>
          </w:p>
        </w:tc>
        <w:tc>
          <w:tcPr>
            <w:tcW w:type="dxa" w:w="1134"/>
            <w:shd w:fill="2F75B5"/>
            <w:vAlign w:val="center"/>
          </w:tcPr>
          <w:p>
            <w:pPr>
              <w:spacing w:after="0"/>
            </w:pPr>
            <w:r>
              <w:rPr>
                <w:rFonts w:ascii="Noto Sans CJK JP" w:hAnsi="Noto Sans CJK JP" w:eastAsia="Noto Sans CJK JP"/>
                <w:b/>
                <w:color w:val="FFFFFF"/>
                <w:sz w:val="16"/>
              </w:rPr>
              <w:t>n</w:t>
            </w:r>
          </w:p>
        </w:tc>
        <w:tc>
          <w:tcPr>
            <w:tcW w:type="dxa" w:w="1701"/>
            <w:shd w:fill="2F75B5"/>
            <w:vAlign w:val="center"/>
          </w:tcPr>
          <w:p>
            <w:pPr>
              <w:spacing w:after="0"/>
            </w:pPr>
            <w:r>
              <w:rPr>
                <w:rFonts w:ascii="Noto Sans CJK JP" w:hAnsi="Noto Sans CJK JP" w:eastAsia="Noto Sans CJK JP"/>
                <w:b/>
                <w:color w:val="FFFFFF"/>
                <w:sz w:val="16"/>
              </w:rPr>
              <w:t>一致率</w:t>
            </w:r>
          </w:p>
        </w:tc>
        <w:tc>
          <w:tcPr>
            <w:tcW w:type="dxa" w:w="2154"/>
            <w:shd w:fill="2F75B5"/>
            <w:vAlign w:val="center"/>
          </w:tcPr>
          <w:p>
            <w:pPr>
              <w:spacing w:after="0"/>
            </w:pPr>
            <w:r>
              <w:rPr>
                <w:rFonts w:ascii="Noto Sans CJK JP" w:hAnsi="Noto Sans CJK JP" w:eastAsia="Noto Sans CJK JP"/>
                <w:b/>
                <w:color w:val="FFFFFF"/>
                <w:sz w:val="16"/>
              </w:rPr>
              <w:t>Cohenのκ（7分類）</w:t>
            </w:r>
          </w:p>
        </w:tc>
        <w:tc>
          <w:tcPr>
            <w:tcW w:type="dxa" w:w="1814"/>
            <w:shd w:fill="2F75B5"/>
            <w:vAlign w:val="center"/>
          </w:tcPr>
          <w:p>
            <w:pPr>
              <w:spacing w:after="0"/>
            </w:pPr>
            <w:r>
              <w:rPr>
                <w:rFonts w:ascii="Noto Sans CJK JP" w:hAnsi="Noto Sans CJK JP" w:eastAsia="Noto Sans CJK JP"/>
                <w:b/>
                <w:color w:val="FFFFFF"/>
                <w:sz w:val="16"/>
              </w:rPr>
              <w:t>A–C対D–G κ</w:t>
            </w:r>
          </w:p>
        </w:tc>
      </w:tr>
      <w:tr>
        <w:trPr>
          <w:cantSplit/>
        </w:trPr>
        <w:tc>
          <w:tcPr>
            <w:tcW w:type="dxa" w:w="2268"/>
            <w:vAlign w:val="top"/>
            <w:shd w:fill="EAF2F8"/>
          </w:tcPr>
          <w:p>
            <w:pPr>
              <w:spacing w:after="0"/>
            </w:pPr>
            <w:r>
              <w:rPr>
                <w:rFonts w:ascii="Noto Sans CJK JP" w:hAnsi="Noto Sans CJK JP" w:eastAsia="Noto Sans CJK JP"/>
                <w:b w:val="0"/>
                <w:color w:val="1F2933"/>
                <w:sz w:val="16"/>
              </w:rPr>
              <w:t>全特徴量</w:t>
            </w:r>
          </w:p>
        </w:tc>
        <w:tc>
          <w:tcPr>
            <w:tcW w:type="dxa" w:w="1134"/>
            <w:vAlign w:val="top"/>
          </w:tcPr>
          <w:p>
            <w:pPr>
              <w:spacing w:after="0"/>
            </w:pPr>
            <w:r>
              <w:rPr>
                <w:rFonts w:ascii="Noto Sans CJK JP" w:hAnsi="Noto Sans CJK JP" w:eastAsia="Noto Sans CJK JP"/>
                <w:b w:val="0"/>
                <w:color w:val="1F2933"/>
                <w:sz w:val="16"/>
              </w:rPr>
              <w:t>5,200</w:t>
            </w:r>
          </w:p>
        </w:tc>
        <w:tc>
          <w:tcPr>
            <w:tcW w:type="dxa" w:w="1701"/>
            <w:vAlign w:val="top"/>
          </w:tcPr>
          <w:p>
            <w:pPr>
              <w:spacing w:after="0"/>
            </w:pPr>
            <w:r>
              <w:rPr>
                <w:rFonts w:ascii="Noto Sans CJK JP" w:hAnsi="Noto Sans CJK JP" w:eastAsia="Noto Sans CJK JP"/>
                <w:b w:val="0"/>
                <w:color w:val="1F2933"/>
                <w:sz w:val="16"/>
              </w:rPr>
              <w:t>97.69%</w:t>
            </w:r>
          </w:p>
        </w:tc>
        <w:tc>
          <w:tcPr>
            <w:tcW w:type="dxa" w:w="2154"/>
            <w:vAlign w:val="top"/>
          </w:tcPr>
          <w:p>
            <w:pPr>
              <w:spacing w:after="0"/>
            </w:pPr>
            <w:r>
              <w:rPr>
                <w:rFonts w:ascii="Noto Sans CJK JP" w:hAnsi="Noto Sans CJK JP" w:eastAsia="Noto Sans CJK JP"/>
                <w:b w:val="0"/>
                <w:color w:val="1F2933"/>
                <w:sz w:val="16"/>
              </w:rPr>
              <w:t>0.9607</w:t>
            </w:r>
          </w:p>
        </w:tc>
        <w:tc>
          <w:tcPr>
            <w:tcW w:type="dxa" w:w="1814"/>
            <w:vAlign w:val="top"/>
          </w:tcPr>
          <w:p>
            <w:pPr>
              <w:spacing w:after="0"/>
            </w:pPr>
            <w:r>
              <w:rPr>
                <w:rFonts w:ascii="Noto Sans CJK JP" w:hAnsi="Noto Sans CJK JP" w:eastAsia="Noto Sans CJK JP"/>
                <w:b w:val="0"/>
                <w:color w:val="1F2933"/>
                <w:sz w:val="16"/>
              </w:rPr>
              <w:t>0.9973</w:t>
            </w:r>
          </w:p>
        </w:tc>
      </w:tr>
      <w:tr>
        <w:trPr>
          <w:cantSplit/>
        </w:trPr>
        <w:tc>
          <w:tcPr>
            <w:tcW w:type="dxa" w:w="2268"/>
            <w:vAlign w:val="top"/>
            <w:shd w:fill="EAF2F8"/>
          </w:tcPr>
          <w:p>
            <w:pPr>
              <w:spacing w:after="0"/>
            </w:pPr>
            <w:r>
              <w:rPr>
                <w:rFonts w:ascii="Noto Sans CJK JP" w:hAnsi="Noto Sans CJK JP" w:eastAsia="Noto Sans CJK JP"/>
                <w:b w:val="0"/>
                <w:color w:val="1F2933"/>
                <w:sz w:val="16"/>
              </w:rPr>
              <w:t>公開版</w:t>
            </w:r>
          </w:p>
        </w:tc>
        <w:tc>
          <w:tcPr>
            <w:tcW w:type="dxa" w:w="1134"/>
            <w:vAlign w:val="top"/>
          </w:tcPr>
          <w:p>
            <w:pPr>
              <w:spacing w:after="0"/>
            </w:pPr>
            <w:r>
              <w:rPr>
                <w:rFonts w:ascii="Noto Sans CJK JP" w:hAnsi="Noto Sans CJK JP" w:eastAsia="Noto Sans CJK JP"/>
                <w:b w:val="0"/>
                <w:color w:val="1F2933"/>
                <w:sz w:val="16"/>
              </w:rPr>
              <w:t>1,766</w:t>
            </w:r>
          </w:p>
        </w:tc>
        <w:tc>
          <w:tcPr>
            <w:tcW w:type="dxa" w:w="1701"/>
            <w:vAlign w:val="top"/>
          </w:tcPr>
          <w:p>
            <w:pPr>
              <w:spacing w:after="0"/>
            </w:pPr>
            <w:r>
              <w:rPr>
                <w:rFonts w:ascii="Noto Sans CJK JP" w:hAnsi="Noto Sans CJK JP" w:eastAsia="Noto Sans CJK JP"/>
                <w:b w:val="0"/>
                <w:color w:val="1F2933"/>
                <w:sz w:val="16"/>
              </w:rPr>
              <w:t>96.26%</w:t>
            </w:r>
          </w:p>
        </w:tc>
        <w:tc>
          <w:tcPr>
            <w:tcW w:type="dxa" w:w="2154"/>
            <w:vAlign w:val="top"/>
          </w:tcPr>
          <w:p>
            <w:pPr>
              <w:spacing w:after="0"/>
            </w:pPr>
            <w:r>
              <w:rPr>
                <w:rFonts w:ascii="Noto Sans CJK JP" w:hAnsi="Noto Sans CJK JP" w:eastAsia="Noto Sans CJK JP"/>
                <w:b w:val="0"/>
                <w:color w:val="1F2933"/>
                <w:sz w:val="16"/>
              </w:rPr>
              <w:t>0.9424</w:t>
            </w:r>
          </w:p>
        </w:tc>
        <w:tc>
          <w:tcPr>
            <w:tcW w:type="dxa" w:w="1814"/>
            <w:vAlign w:val="top"/>
          </w:tcPr>
          <w:p>
            <w:pPr>
              <w:spacing w:after="0"/>
            </w:pPr>
            <w:r>
              <w:rPr>
                <w:rFonts w:ascii="Noto Sans CJK JP" w:hAnsi="Noto Sans CJK JP" w:eastAsia="Noto Sans CJK JP"/>
                <w:b w:val="0"/>
                <w:color w:val="1F2933"/>
                <w:sz w:val="16"/>
              </w:rPr>
              <w:t>0.9966</w:t>
            </w:r>
          </w:p>
        </w:tc>
      </w:tr>
      <w:tr>
        <w:trPr>
          <w:cantSplit/>
        </w:trPr>
        <w:tc>
          <w:tcPr>
            <w:tcW w:type="dxa" w:w="2268"/>
            <w:vAlign w:val="top"/>
            <w:shd w:fill="EAF2F8"/>
          </w:tcPr>
          <w:p>
            <w:pPr>
              <w:spacing w:after="0"/>
            </w:pPr>
            <w:r>
              <w:rPr>
                <w:rFonts w:ascii="Noto Sans CJK JP" w:hAnsi="Noto Sans CJK JP" w:eastAsia="Noto Sans CJK JP"/>
                <w:b w:val="0"/>
                <w:color w:val="1F2933"/>
                <w:sz w:val="16"/>
              </w:rPr>
              <w:t>ライセンス除外特徴量</w:t>
            </w:r>
          </w:p>
        </w:tc>
        <w:tc>
          <w:tcPr>
            <w:tcW w:type="dxa" w:w="1134"/>
            <w:vAlign w:val="top"/>
          </w:tcPr>
          <w:p>
            <w:pPr>
              <w:spacing w:after="0"/>
            </w:pPr>
            <w:r>
              <w:rPr>
                <w:rFonts w:ascii="Noto Sans CJK JP" w:hAnsi="Noto Sans CJK JP" w:eastAsia="Noto Sans CJK JP"/>
                <w:b w:val="0"/>
                <w:color w:val="1F2933"/>
                <w:sz w:val="16"/>
              </w:rPr>
              <w:t>3,434</w:t>
            </w:r>
          </w:p>
        </w:tc>
        <w:tc>
          <w:tcPr>
            <w:tcW w:type="dxa" w:w="1701"/>
            <w:vAlign w:val="top"/>
          </w:tcPr>
          <w:p>
            <w:pPr>
              <w:spacing w:after="0"/>
            </w:pPr>
            <w:r>
              <w:rPr>
                <w:rFonts w:ascii="Noto Sans CJK JP" w:hAnsi="Noto Sans CJK JP" w:eastAsia="Noto Sans CJK JP"/>
                <w:b w:val="0"/>
                <w:color w:val="1F2933"/>
                <w:sz w:val="16"/>
              </w:rPr>
              <w:t>98.43%</w:t>
            </w:r>
          </w:p>
        </w:tc>
        <w:tc>
          <w:tcPr>
            <w:tcW w:type="dxa" w:w="2154"/>
            <w:vAlign w:val="top"/>
          </w:tcPr>
          <w:p>
            <w:pPr>
              <w:spacing w:after="0"/>
            </w:pPr>
            <w:r>
              <w:rPr>
                <w:rFonts w:ascii="Noto Sans CJK JP" w:hAnsi="Noto Sans CJK JP" w:eastAsia="Noto Sans CJK JP"/>
                <w:b w:val="0"/>
                <w:color w:val="1F2933"/>
                <w:sz w:val="16"/>
              </w:rPr>
              <w:t>0.9703</w:t>
            </w:r>
          </w:p>
        </w:tc>
        <w:tc>
          <w:tcPr>
            <w:tcW w:type="dxa" w:w="1814"/>
            <w:vAlign w:val="top"/>
          </w:tcPr>
          <w:p>
            <w:pPr>
              <w:spacing w:after="0"/>
            </w:pPr>
            <w:r>
              <w:rPr>
                <w:rFonts w:ascii="Noto Sans CJK JP" w:hAnsi="Noto Sans CJK JP" w:eastAsia="Noto Sans CJK JP"/>
                <w:b w:val="0"/>
                <w:color w:val="1F2933"/>
                <w:sz w:val="16"/>
              </w:rPr>
              <w:t>0.9975</w:t>
            </w:r>
          </w:p>
        </w:tc>
      </w:tr>
      <w:tr>
        <w:trPr>
          <w:cantSplit/>
        </w:trPr>
        <w:tc>
          <w:tcPr>
            <w:tcW w:type="dxa" w:w="2268"/>
            <w:vAlign w:val="top"/>
            <w:shd w:fill="EAF2F8"/>
          </w:tcPr>
          <w:p>
            <w:pPr>
              <w:spacing w:after="0"/>
            </w:pPr>
            <w:r>
              <w:rPr>
                <w:rFonts w:ascii="Noto Sans CJK JP" w:hAnsi="Noto Sans CJK JP" w:eastAsia="Noto Sans CJK JP"/>
                <w:b w:val="0"/>
                <w:color w:val="1F2933"/>
                <w:sz w:val="16"/>
              </w:rPr>
              <w:t>Gを除く特徴量</w:t>
            </w:r>
          </w:p>
        </w:tc>
        <w:tc>
          <w:tcPr>
            <w:tcW w:type="dxa" w:w="1134"/>
            <w:vAlign w:val="top"/>
          </w:tcPr>
          <w:p>
            <w:pPr>
              <w:spacing w:after="0"/>
            </w:pPr>
            <w:r>
              <w:rPr>
                <w:rFonts w:ascii="Noto Sans CJK JP" w:hAnsi="Noto Sans CJK JP" w:eastAsia="Noto Sans CJK JP"/>
                <w:b w:val="0"/>
                <w:color w:val="1F2933"/>
                <w:sz w:val="16"/>
              </w:rPr>
              <w:t>2,034</w:t>
            </w:r>
          </w:p>
        </w:tc>
        <w:tc>
          <w:tcPr>
            <w:tcW w:type="dxa" w:w="1701"/>
            <w:vAlign w:val="top"/>
          </w:tcPr>
          <w:p>
            <w:pPr>
              <w:spacing w:after="0"/>
            </w:pPr>
            <w:r>
              <w:rPr>
                <w:rFonts w:ascii="Noto Sans CJK JP" w:hAnsi="Noto Sans CJK JP" w:eastAsia="Noto Sans CJK JP"/>
                <w:b w:val="0"/>
                <w:color w:val="1F2933"/>
                <w:sz w:val="16"/>
              </w:rPr>
              <w:t>94.10%</w:t>
            </w:r>
          </w:p>
        </w:tc>
        <w:tc>
          <w:tcPr>
            <w:tcW w:type="dxa" w:w="2154"/>
            <w:vAlign w:val="top"/>
          </w:tcPr>
          <w:p>
            <w:pPr>
              <w:spacing w:after="0"/>
            </w:pPr>
            <w:r>
              <w:rPr>
                <w:rFonts w:ascii="Noto Sans CJK JP" w:hAnsi="Noto Sans CJK JP" w:eastAsia="Noto Sans CJK JP"/>
                <w:b w:val="0"/>
                <w:color w:val="1F2933"/>
                <w:sz w:val="16"/>
              </w:rPr>
              <w:t>0.9189</w:t>
            </w:r>
          </w:p>
        </w:tc>
        <w:tc>
          <w:tcPr>
            <w:tcW w:type="dxa" w:w="1814"/>
            <w:vAlign w:val="top"/>
          </w:tcPr>
          <w:p>
            <w:pPr>
              <w:spacing w:after="0"/>
            </w:pPr>
            <w:r>
              <w:rPr>
                <w:rFonts w:ascii="Noto Sans CJK JP" w:hAnsi="Noto Sans CJK JP" w:eastAsia="Noto Sans CJK JP"/>
                <w:b w:val="0"/>
                <w:color w:val="1F2933"/>
                <w:sz w:val="16"/>
              </w:rPr>
              <w:t>0.9911</w:t>
            </w:r>
          </w:p>
        </w:tc>
      </w:tr>
    </w:tbl>
    <w:p>
      <w:r>
        <w:drawing>
          <wp:inline xmlns:a="http://schemas.openxmlformats.org/drawingml/2006/main" xmlns:pic="http://schemas.openxmlformats.org/drawingml/2006/picture">
            <wp:extent cx="5688000" cy="3136102"/>
            <wp:docPr id="1" name="Picture 1" descr="Image: image1.png"/>
            <wp:cNvGraphicFramePr>
              <a:graphicFrameLocks noChangeAspect="1"/>
            </wp:cNvGraphicFramePr>
            <a:graphic>
              <a:graphicData uri="http://schemas.openxmlformats.org/drawingml/2006/picture">
                <pic:pic>
                  <pic:nvPicPr>
                    <pic:cNvPr id="0" name="tier_counts_comparison.png"/>
                    <pic:cNvPicPr/>
                  </pic:nvPicPr>
                  <pic:blipFill>
                    <a:blip r:embed="rId11"/>
                    <a:stretch>
                      <a:fillRect/>
                    </a:stretch>
                  </pic:blipFill>
                  <pic:spPr>
                    <a:xfrm>
                      <a:off x="0" y="0"/>
                      <a:ext cx="5688000" cy="3136102"/>
                    </a:xfrm>
                    <a:prstGeom prst="rect"/>
                  </pic:spPr>
                </pic:pic>
              </a:graphicData>
            </a:graphic>
          </wp:inline>
        </w:drawing>
      </w:r>
    </w:p>
    <w:p>
      <w:pPr>
        <w:pStyle w:val="SmallNote"/>
        <w:jc w:val="center"/>
      </w:pPr>
      <w:r>
        <w:t>図1　Tier別特徴量数。AからB/C/Dへの再分類により、Aは385列から311列へ減少し、Cは802列から873列へ増加した。</w:t>
      </w:r>
    </w:p>
    <w:p>
      <w:pPr>
        <w:pStyle w:val="Heading1"/>
      </w:pPr>
      <w:r>
        <w:t>5. 不一致120件の内訳</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3362"/>
        <w:gridCol w:w="3362"/>
        <w:gridCol w:w="3362"/>
      </w:tblGrid>
      <w:tr>
        <w:trPr>
          <w:tblHeader w:val="true"/>
          <w:cantSplit/>
        </w:trPr>
        <w:tc>
          <w:tcPr>
            <w:tcW w:type="dxa" w:w="1134"/>
            <w:shd w:fill="7656A8"/>
            <w:vAlign w:val="center"/>
          </w:tcPr>
          <w:p>
            <w:pPr>
              <w:spacing w:after="0"/>
            </w:pPr>
            <w:r>
              <w:rPr>
                <w:rFonts w:ascii="Noto Sans CJK JP" w:hAnsi="Noto Sans CJK JP" w:eastAsia="Noto Sans CJK JP"/>
                <w:b/>
                <w:color w:val="FFFFFF"/>
                <w:sz w:val="16"/>
              </w:rPr>
              <w:t>遷移</w:t>
            </w:r>
          </w:p>
        </w:tc>
        <w:tc>
          <w:tcPr>
            <w:tcW w:type="dxa" w:w="850"/>
            <w:shd w:fill="7656A8"/>
            <w:vAlign w:val="center"/>
          </w:tcPr>
          <w:p>
            <w:pPr>
              <w:spacing w:after="0"/>
            </w:pPr>
            <w:r>
              <w:rPr>
                <w:rFonts w:ascii="Noto Sans CJK JP" w:hAnsi="Noto Sans CJK JP" w:eastAsia="Noto Sans CJK JP"/>
                <w:b/>
                <w:color w:val="FFFFFF"/>
                <w:sz w:val="16"/>
              </w:rPr>
              <w:t>件数</w:t>
            </w:r>
          </w:p>
        </w:tc>
        <w:tc>
          <w:tcPr>
            <w:tcW w:type="dxa" w:w="7087"/>
            <w:shd w:fill="7656A8"/>
            <w:vAlign w:val="center"/>
          </w:tcPr>
          <w:p>
            <w:pPr>
              <w:spacing w:after="0"/>
            </w:pPr>
            <w:r>
              <w:rPr>
                <w:rFonts w:ascii="Noto Sans CJK JP" w:hAnsi="Noto Sans CJK JP" w:eastAsia="Noto Sans CJK JP"/>
                <w:b/>
                <w:color w:val="FFFFFF"/>
                <w:sz w:val="16"/>
              </w:rPr>
              <w:t>主な理由</w:t>
            </w:r>
          </w:p>
        </w:tc>
      </w:tr>
      <w:tr>
        <w:trPr>
          <w:cantSplit/>
        </w:trPr>
        <w:tc>
          <w:tcPr>
            <w:tcW w:type="dxa" w:w="1134"/>
            <w:vAlign w:val="top"/>
            <w:shd w:fill="EAF2F8"/>
          </w:tcPr>
          <w:p>
            <w:pPr>
              <w:spacing w:after="0"/>
            </w:pPr>
            <w:r>
              <w:rPr>
                <w:rFonts w:ascii="Noto Sans CJK JP" w:hAnsi="Noto Sans CJK JP" w:eastAsia="Noto Sans CJK JP"/>
                <w:b w:val="0"/>
                <w:color w:val="1F2933"/>
                <w:sz w:val="16"/>
              </w:rPr>
              <w:t>B → C</w:t>
            </w:r>
          </w:p>
        </w:tc>
        <w:tc>
          <w:tcPr>
            <w:tcW w:type="dxa" w:w="850"/>
            <w:vAlign w:val="top"/>
          </w:tcPr>
          <w:p>
            <w:pPr>
              <w:spacing w:after="0"/>
            </w:pPr>
            <w:r>
              <w:rPr>
                <w:rFonts w:ascii="Noto Sans CJK JP" w:hAnsi="Noto Sans CJK JP" w:eastAsia="Noto Sans CJK JP"/>
                <w:b w:val="0"/>
                <w:color w:val="1F2933"/>
                <w:sz w:val="16"/>
              </w:rPr>
              <w:t>44</w:t>
            </w:r>
          </w:p>
        </w:tc>
        <w:tc>
          <w:tcPr>
            <w:tcW w:type="dxa" w:w="7087"/>
            <w:vAlign w:val="top"/>
          </w:tcPr>
          <w:p>
            <w:pPr>
              <w:spacing w:after="0"/>
            </w:pPr>
            <w:r>
              <w:rPr>
                <w:rFonts w:ascii="Noto Sans CJK JP" w:hAnsi="Noto Sans CJK JP" w:eastAsia="Noto Sans CJK JP"/>
                <w:b w:val="0"/>
                <w:color w:val="1F2933"/>
                <w:sz w:val="16"/>
              </w:rPr>
              <w:t>相対不確かさおよび段階横断統計を条件依存直接量ではなく透明な派生量へ分類。</w:t>
            </w:r>
          </w:p>
        </w:tc>
      </w:tr>
      <w:tr>
        <w:trPr>
          <w:cantSplit/>
        </w:trPr>
        <w:tc>
          <w:tcPr>
            <w:tcW w:type="dxa" w:w="1134"/>
            <w:vAlign w:val="top"/>
            <w:shd w:fill="EAF2F8"/>
          </w:tcPr>
          <w:p>
            <w:pPr>
              <w:spacing w:after="0"/>
            </w:pPr>
            <w:r>
              <w:rPr>
                <w:rFonts w:ascii="Noto Sans CJK JP" w:hAnsi="Noto Sans CJK JP" w:eastAsia="Noto Sans CJK JP"/>
                <w:b w:val="0"/>
                <w:color w:val="1F2933"/>
                <w:sz w:val="16"/>
              </w:rPr>
              <w:t>A → B</w:t>
            </w:r>
          </w:p>
        </w:tc>
        <w:tc>
          <w:tcPr>
            <w:tcW w:type="dxa" w:w="850"/>
            <w:vAlign w:val="top"/>
          </w:tcPr>
          <w:p>
            <w:pPr>
              <w:spacing w:after="0"/>
            </w:pPr>
            <w:r>
              <w:rPr>
                <w:rFonts w:ascii="Noto Sans CJK JP" w:hAnsi="Noto Sans CJK JP" w:eastAsia="Noto Sans CJK JP"/>
                <w:b w:val="0"/>
                <w:color w:val="1F2933"/>
                <w:sz w:val="16"/>
              </w:rPr>
              <w:t>41</w:t>
            </w:r>
          </w:p>
        </w:tc>
        <w:tc>
          <w:tcPr>
            <w:tcW w:type="dxa" w:w="7087"/>
            <w:vAlign w:val="top"/>
          </w:tcPr>
          <w:p>
            <w:pPr>
              <w:spacing w:after="0"/>
            </w:pPr>
            <w:r>
              <w:rPr>
                <w:rFonts w:ascii="Noto Sans CJK JP" w:hAnsi="Noto Sans CJK JP" w:eastAsia="Noto Sans CJK JP"/>
                <w:b w:val="0"/>
                <w:color w:val="1F2933"/>
                <w:sz w:val="16"/>
              </w:rPr>
              <w:t>逐次イオン化エネルギーや電荷状態別Deml量を条件依存直接量へ分類。</w:t>
            </w:r>
          </w:p>
        </w:tc>
      </w:tr>
      <w:tr>
        <w:trPr>
          <w:cantSplit/>
        </w:trPr>
        <w:tc>
          <w:tcPr>
            <w:tcW w:type="dxa" w:w="1134"/>
            <w:vAlign w:val="top"/>
            <w:shd w:fill="EAF2F8"/>
          </w:tcPr>
          <w:p>
            <w:pPr>
              <w:spacing w:after="0"/>
            </w:pPr>
            <w:r>
              <w:rPr>
                <w:rFonts w:ascii="Noto Sans CJK JP" w:hAnsi="Noto Sans CJK JP" w:eastAsia="Noto Sans CJK JP"/>
                <w:b w:val="0"/>
                <w:color w:val="1F2933"/>
                <w:sz w:val="16"/>
              </w:rPr>
              <w:t>A → C</w:t>
            </w:r>
          </w:p>
        </w:tc>
        <w:tc>
          <w:tcPr>
            <w:tcW w:type="dxa" w:w="850"/>
            <w:vAlign w:val="top"/>
          </w:tcPr>
          <w:p>
            <w:pPr>
              <w:spacing w:after="0"/>
            </w:pPr>
            <w:r>
              <w:rPr>
                <w:rFonts w:ascii="Noto Sans CJK JP" w:hAnsi="Noto Sans CJK JP" w:eastAsia="Noto Sans CJK JP"/>
                <w:b w:val="0"/>
                <w:color w:val="1F2933"/>
                <w:sz w:val="16"/>
              </w:rPr>
              <w:t>28</w:t>
            </w:r>
          </w:p>
        </w:tc>
        <w:tc>
          <w:tcPr>
            <w:tcW w:type="dxa" w:w="7087"/>
            <w:vAlign w:val="top"/>
          </w:tcPr>
          <w:p>
            <w:pPr>
              <w:spacing w:after="0"/>
            </w:pPr>
            <w:r>
              <w:rPr>
                <w:rFonts w:ascii="Noto Sans CJK JP" w:hAnsi="Noto Sans CJK JP" w:eastAsia="Noto Sans CJK JP"/>
                <w:b w:val="0"/>
                <w:color w:val="1F2933"/>
                <w:sz w:val="16"/>
              </w:rPr>
              <w:t>電子配置から解析した副殻占有数、対数変換、モデル表の要約量を透明な派生量へ分類。</w:t>
            </w:r>
          </w:p>
        </w:tc>
      </w:tr>
      <w:tr>
        <w:trPr>
          <w:cantSplit/>
        </w:trPr>
        <w:tc>
          <w:tcPr>
            <w:tcW w:type="dxa" w:w="1134"/>
            <w:vAlign w:val="top"/>
            <w:shd w:fill="EAF2F8"/>
          </w:tcPr>
          <w:p>
            <w:pPr>
              <w:spacing w:after="0"/>
            </w:pPr>
            <w:r>
              <w:rPr>
                <w:rFonts w:ascii="Noto Sans CJK JP" w:hAnsi="Noto Sans CJK JP" w:eastAsia="Noto Sans CJK JP"/>
                <w:b w:val="0"/>
                <w:color w:val="1F2933"/>
                <w:sz w:val="16"/>
              </w:rPr>
              <w:t>A → D</w:t>
            </w:r>
          </w:p>
        </w:tc>
        <w:tc>
          <w:tcPr>
            <w:tcW w:type="dxa" w:w="850"/>
            <w:vAlign w:val="top"/>
          </w:tcPr>
          <w:p>
            <w:pPr>
              <w:spacing w:after="0"/>
            </w:pPr>
            <w:r>
              <w:rPr>
                <w:rFonts w:ascii="Noto Sans CJK JP" w:hAnsi="Noto Sans CJK JP" w:eastAsia="Noto Sans CJK JP"/>
                <w:b w:val="0"/>
                <w:color w:val="1F2933"/>
                <w:sz w:val="16"/>
              </w:rPr>
              <w:t>6</w:t>
            </w:r>
          </w:p>
        </w:tc>
        <w:tc>
          <w:tcPr>
            <w:tcW w:type="dxa" w:w="7087"/>
            <w:vAlign w:val="top"/>
          </w:tcPr>
          <w:p>
            <w:pPr>
              <w:spacing w:after="0"/>
            </w:pPr>
            <w:r>
              <w:rPr>
                <w:rFonts w:ascii="Noto Sans CJK JP" w:hAnsi="Noto Sans CJK JP" w:eastAsia="Noto Sans CJK JP"/>
                <w:b w:val="0"/>
                <w:color w:val="1F2933"/>
                <w:sz w:val="16"/>
              </w:rPr>
              <w:t>Miedema/FERE等のモデル固有経験パラメータを補助量へ分類。</w:t>
            </w:r>
          </w:p>
        </w:tc>
      </w:tr>
      <w:tr>
        <w:trPr>
          <w:cantSplit/>
        </w:trPr>
        <w:tc>
          <w:tcPr>
            <w:tcW w:type="dxa" w:w="1134"/>
            <w:vAlign w:val="top"/>
            <w:shd w:fill="EAF2F8"/>
          </w:tcPr>
          <w:p>
            <w:pPr>
              <w:spacing w:after="0"/>
            </w:pPr>
            <w:r>
              <w:rPr>
                <w:rFonts w:ascii="Noto Sans CJK JP" w:hAnsi="Noto Sans CJK JP" w:eastAsia="Noto Sans CJK JP"/>
                <w:b w:val="0"/>
                <w:color w:val="1F2933"/>
                <w:sz w:val="16"/>
              </w:rPr>
              <w:t>C → A</w:t>
            </w:r>
          </w:p>
        </w:tc>
        <w:tc>
          <w:tcPr>
            <w:tcW w:type="dxa" w:w="850"/>
            <w:vAlign w:val="top"/>
          </w:tcPr>
          <w:p>
            <w:pPr>
              <w:spacing w:after="0"/>
            </w:pPr>
            <w:r>
              <w:rPr>
                <w:rFonts w:ascii="Noto Sans CJK JP" w:hAnsi="Noto Sans CJK JP" w:eastAsia="Noto Sans CJK JP"/>
                <w:b w:val="0"/>
                <w:color w:val="1F2933"/>
                <w:sz w:val="16"/>
              </w:rPr>
              <w:t>1</w:t>
            </w:r>
          </w:p>
        </w:tc>
        <w:tc>
          <w:tcPr>
            <w:tcW w:type="dxa" w:w="7087"/>
            <w:vAlign w:val="top"/>
          </w:tcPr>
          <w:p>
            <w:pPr>
              <w:spacing w:after="0"/>
            </w:pPr>
            <w:r>
              <w:rPr>
                <w:rFonts w:ascii="Noto Sans CJK JP" w:hAnsi="Noto Sans CJK JP" w:eastAsia="Noto Sans CJK JP"/>
                <w:b w:val="0"/>
                <w:color w:val="1F2933"/>
                <w:sz w:val="16"/>
              </w:rPr>
              <w:t>XenonPyで直接転記されたPoisson比を直接の名前付き物性として分類。</w:t>
            </w:r>
          </w:p>
        </w:tc>
      </w:tr>
    </w:tbl>
    <w:p>
      <w:r>
        <w:drawing>
          <wp:inline xmlns:a="http://schemas.openxmlformats.org/drawingml/2006/main" xmlns:pic="http://schemas.openxmlformats.org/drawingml/2006/picture">
            <wp:extent cx="5220000" cy="2910345"/>
            <wp:docPr id="2" name="Picture 2" descr="Image: image2.png"/>
            <wp:cNvGraphicFramePr>
              <a:graphicFrameLocks noChangeAspect="1"/>
            </wp:cNvGraphicFramePr>
            <a:graphic>
              <a:graphicData uri="http://schemas.openxmlformats.org/drawingml/2006/picture">
                <pic:pic>
                  <pic:nvPicPr>
                    <pic:cNvPr id="0" name="disagreement_transitions.png"/>
                    <pic:cNvPicPr/>
                  </pic:nvPicPr>
                  <pic:blipFill>
                    <a:blip r:embed="rId12"/>
                    <a:stretch>
                      <a:fillRect/>
                    </a:stretch>
                  </pic:blipFill>
                  <pic:spPr>
                    <a:xfrm>
                      <a:off x="0" y="0"/>
                      <a:ext cx="5220000" cy="2910345"/>
                    </a:xfrm>
                    <a:prstGeom prst="rect"/>
                  </pic:spPr>
                </pic:pic>
              </a:graphicData>
            </a:graphic>
          </wp:inline>
        </w:drawing>
      </w:r>
    </w:p>
    <w:p>
      <w:pPr>
        <w:pStyle w:val="SmallNote"/>
        <w:jc w:val="center"/>
      </w:pPr>
      <w:r>
        <w:t>図2　不一致のTier遷移内訳。</w:t>
      </w:r>
    </w:p>
    <w:p>
      <w:pPr>
        <w:pStyle w:val="Heading1"/>
      </w:pPr>
      <w:r>
        <w:t>6. 再分類を推奨した7ブロック</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2017"/>
        <w:gridCol w:w="2017"/>
        <w:gridCol w:w="2017"/>
        <w:gridCol w:w="2017"/>
        <w:gridCol w:w="2017"/>
      </w:tblGrid>
      <w:tr>
        <w:trPr>
          <w:tblHeader w:val="true"/>
          <w:cantSplit/>
        </w:trPr>
        <w:tc>
          <w:tcPr>
            <w:tcW w:type="dxa" w:w="2494"/>
            <w:shd w:fill="17365D"/>
            <w:vAlign w:val="center"/>
          </w:tcPr>
          <w:p>
            <w:pPr>
              <w:spacing w:after="0"/>
            </w:pPr>
            <w:r>
              <w:rPr>
                <w:rFonts w:ascii="Noto Sans CJK JP" w:hAnsi="Noto Sans CJK JP" w:eastAsia="Noto Sans CJK JP"/>
                <w:b/>
                <w:color w:val="FFFFFF"/>
                <w:sz w:val="16"/>
              </w:rPr>
              <w:t>特徴量ブロック</w:t>
            </w:r>
          </w:p>
        </w:tc>
        <w:tc>
          <w:tcPr>
            <w:tcW w:type="dxa" w:w="737"/>
            <w:shd w:fill="17365D"/>
            <w:vAlign w:val="center"/>
          </w:tcPr>
          <w:p>
            <w:pPr>
              <w:spacing w:after="0"/>
            </w:pPr>
            <w:r>
              <w:rPr>
                <w:rFonts w:ascii="Noto Sans CJK JP" w:hAnsi="Noto Sans CJK JP" w:eastAsia="Noto Sans CJK JP"/>
                <w:b/>
                <w:color w:val="FFFFFF"/>
                <w:sz w:val="16"/>
              </w:rPr>
              <w:t>列数</w:t>
            </w:r>
          </w:p>
        </w:tc>
        <w:tc>
          <w:tcPr>
            <w:tcW w:type="dxa" w:w="737"/>
            <w:shd w:fill="17365D"/>
            <w:vAlign w:val="center"/>
          </w:tcPr>
          <w:p>
            <w:pPr>
              <w:spacing w:after="0"/>
            </w:pPr>
            <w:r>
              <w:rPr>
                <w:rFonts w:ascii="Noto Sans CJK JP" w:hAnsi="Noto Sans CJK JP" w:eastAsia="Noto Sans CJK JP"/>
                <w:b/>
                <w:color w:val="FFFFFF"/>
                <w:sz w:val="16"/>
              </w:rPr>
              <w:t>変更</w:t>
            </w:r>
          </w:p>
        </w:tc>
        <w:tc>
          <w:tcPr>
            <w:tcW w:type="dxa" w:w="2551"/>
            <w:shd w:fill="17365D"/>
            <w:vAlign w:val="center"/>
          </w:tcPr>
          <w:p>
            <w:pPr>
              <w:spacing w:after="0"/>
            </w:pPr>
            <w:r>
              <w:rPr>
                <w:rFonts w:ascii="Noto Sans CJK JP" w:hAnsi="Noto Sans CJK JP" w:eastAsia="Noto Sans CJK JP"/>
                <w:b/>
                <w:color w:val="FFFFFF"/>
                <w:sz w:val="16"/>
              </w:rPr>
              <w:t>初回Tier内訳</w:t>
            </w:r>
          </w:p>
        </w:tc>
        <w:tc>
          <w:tcPr>
            <w:tcW w:type="dxa" w:w="2551"/>
            <w:shd w:fill="17365D"/>
            <w:vAlign w:val="center"/>
          </w:tcPr>
          <w:p>
            <w:pPr>
              <w:spacing w:after="0"/>
            </w:pPr>
            <w:r>
              <w:rPr>
                <w:rFonts w:ascii="Noto Sans CJK JP" w:hAnsi="Noto Sans CJK JP" w:eastAsia="Noto Sans CJK JP"/>
                <w:b/>
                <w:color w:val="FFFFFF"/>
                <w:sz w:val="16"/>
              </w:rPr>
              <w:t>第二評価Tier内訳</w:t>
            </w:r>
          </w:p>
        </w:tc>
      </w:tr>
      <w:tr>
        <w:trPr>
          <w:cantSplit/>
        </w:trPr>
        <w:tc>
          <w:tcPr>
            <w:tcW w:type="dxa" w:w="2494"/>
            <w:vAlign w:val="top"/>
            <w:shd w:fill="EAF2F8"/>
          </w:tcPr>
          <w:p>
            <w:pPr>
              <w:spacing w:after="0"/>
            </w:pPr>
            <w:r>
              <w:rPr>
                <w:rFonts w:ascii="Noto Sans CJK JP" w:hAnsi="Noto Sans CJK JP" w:eastAsia="Noto Sans CJK JP"/>
                <w:b w:val="0"/>
                <w:color w:val="1F2933"/>
                <w:sz w:val="16"/>
              </w:rPr>
              <w:t>matminer_deml</w:t>
            </w:r>
          </w:p>
        </w:tc>
        <w:tc>
          <w:tcPr>
            <w:tcW w:type="dxa" w:w="737"/>
            <w:vAlign w:val="top"/>
          </w:tcPr>
          <w:p>
            <w:pPr>
              <w:spacing w:after="0"/>
            </w:pPr>
            <w:r>
              <w:rPr>
                <w:rFonts w:ascii="Noto Sans CJK JP" w:hAnsi="Noto Sans CJK JP" w:eastAsia="Noto Sans CJK JP"/>
                <w:b w:val="0"/>
                <w:color w:val="1F2933"/>
                <w:sz w:val="16"/>
              </w:rPr>
              <w:t>62</w:t>
            </w:r>
          </w:p>
        </w:tc>
        <w:tc>
          <w:tcPr>
            <w:tcW w:type="dxa" w:w="737"/>
            <w:vAlign w:val="top"/>
          </w:tcPr>
          <w:p>
            <w:pPr>
              <w:spacing w:after="0"/>
            </w:pPr>
            <w:r>
              <w:rPr>
                <w:rFonts w:ascii="Noto Sans CJK JP" w:hAnsi="Noto Sans CJK JP" w:eastAsia="Noto Sans CJK JP"/>
                <w:b w:val="0"/>
                <w:color w:val="1F2933"/>
                <w:sz w:val="16"/>
              </w:rPr>
              <w:t>36</w:t>
            </w:r>
          </w:p>
        </w:tc>
        <w:tc>
          <w:tcPr>
            <w:tcW w:type="dxa" w:w="2551"/>
            <w:vAlign w:val="top"/>
          </w:tcPr>
          <w:p>
            <w:r>
              <w:t>A:51; C:11</w:t>
            </w:r>
          </w:p>
        </w:tc>
        <w:tc>
          <w:tcPr>
            <w:tcW w:type="dxa" w:w="2551"/>
            <w:vAlign w:val="top"/>
          </w:tcPr>
          <w:p>
            <w:r>
              <w:t>A:15; B:32; C:14; D:1</w:t>
            </w:r>
          </w:p>
        </w:tc>
      </w:tr>
      <w:tr>
        <w:trPr>
          <w:cantSplit/>
        </w:trPr>
        <w:tc>
          <w:tcPr>
            <w:tcW w:type="dxa" w:w="2494"/>
            <w:vAlign w:val="top"/>
            <w:shd w:fill="EAF2F8"/>
          </w:tcPr>
          <w:p>
            <w:pPr>
              <w:spacing w:after="0"/>
            </w:pPr>
            <w:r>
              <w:rPr>
                <w:rFonts w:ascii="Noto Sans CJK JP" w:hAnsi="Noto Sans CJK JP" w:eastAsia="Noto Sans CJK JP"/>
                <w:b w:val="0"/>
                <w:color w:val="1F2933"/>
                <w:sz w:val="16"/>
              </w:rPr>
              <w:t>matminer_jarvis</w:t>
            </w:r>
          </w:p>
        </w:tc>
        <w:tc>
          <w:tcPr>
            <w:tcW w:type="dxa" w:w="737"/>
            <w:vAlign w:val="top"/>
          </w:tcPr>
          <w:p>
            <w:pPr>
              <w:spacing w:after="0"/>
            </w:pPr>
            <w:r>
              <w:rPr>
                <w:rFonts w:ascii="Noto Sans CJK JP" w:hAnsi="Noto Sans CJK JP" w:eastAsia="Noto Sans CJK JP"/>
                <w:b w:val="0"/>
                <w:color w:val="1F2933"/>
                <w:sz w:val="16"/>
              </w:rPr>
              <w:t>438</w:t>
            </w:r>
          </w:p>
        </w:tc>
        <w:tc>
          <w:tcPr>
            <w:tcW w:type="dxa" w:w="737"/>
            <w:vAlign w:val="top"/>
          </w:tcPr>
          <w:p>
            <w:pPr>
              <w:spacing w:after="0"/>
            </w:pPr>
            <w:r>
              <w:rPr>
                <w:rFonts w:ascii="Noto Sans CJK JP" w:hAnsi="Noto Sans CJK JP" w:eastAsia="Noto Sans CJK JP"/>
                <w:b w:val="0"/>
                <w:color w:val="1F2933"/>
                <w:sz w:val="16"/>
              </w:rPr>
              <w:t>5</w:t>
            </w:r>
          </w:p>
        </w:tc>
        <w:tc>
          <w:tcPr>
            <w:tcW w:type="dxa" w:w="2551"/>
            <w:vAlign w:val="top"/>
          </w:tcPr>
          <w:p>
            <w:r>
              <w:t>A:48; B:36; E:354</w:t>
            </w:r>
          </w:p>
        </w:tc>
        <w:tc>
          <w:tcPr>
            <w:tcW w:type="dxa" w:w="2551"/>
            <w:vAlign w:val="top"/>
          </w:tcPr>
          <w:p>
            <w:r>
              <w:t>A:43; B:36; C:5; E:354</w:t>
            </w:r>
          </w:p>
        </w:tc>
      </w:tr>
      <w:tr>
        <w:trPr>
          <w:cantSplit/>
        </w:trPr>
        <w:tc>
          <w:tcPr>
            <w:tcW w:type="dxa" w:w="2494"/>
            <w:vAlign w:val="top"/>
            <w:shd w:fill="EAF2F8"/>
          </w:tcPr>
          <w:p>
            <w:pPr>
              <w:spacing w:after="0"/>
            </w:pPr>
            <w:r>
              <w:rPr>
                <w:rFonts w:ascii="Noto Sans CJK JP" w:hAnsi="Noto Sans CJK JP" w:eastAsia="Noto Sans CJK JP"/>
                <w:b w:val="0"/>
                <w:color w:val="1F2933"/>
                <w:sz w:val="16"/>
              </w:rPr>
              <w:t>matminer_magpie</w:t>
            </w:r>
          </w:p>
        </w:tc>
        <w:tc>
          <w:tcPr>
            <w:tcW w:type="dxa" w:w="737"/>
            <w:vAlign w:val="top"/>
          </w:tcPr>
          <w:p>
            <w:pPr>
              <w:spacing w:after="0"/>
            </w:pPr>
            <w:r>
              <w:rPr>
                <w:rFonts w:ascii="Noto Sans CJK JP" w:hAnsi="Noto Sans CJK JP" w:eastAsia="Noto Sans CJK JP"/>
                <w:b w:val="0"/>
                <w:color w:val="1F2933"/>
                <w:sz w:val="16"/>
              </w:rPr>
              <w:t>93</w:t>
            </w:r>
          </w:p>
        </w:tc>
        <w:tc>
          <w:tcPr>
            <w:tcW w:type="dxa" w:w="737"/>
            <w:vAlign w:val="top"/>
          </w:tcPr>
          <w:p>
            <w:pPr>
              <w:spacing w:after="0"/>
            </w:pPr>
            <w:r>
              <w:rPr>
                <w:rFonts w:ascii="Noto Sans CJK JP" w:hAnsi="Noto Sans CJK JP" w:eastAsia="Noto Sans CJK JP"/>
                <w:b w:val="0"/>
                <w:color w:val="1F2933"/>
                <w:sz w:val="16"/>
              </w:rPr>
              <w:t>12</w:t>
            </w:r>
          </w:p>
        </w:tc>
        <w:tc>
          <w:tcPr>
            <w:tcW w:type="dxa" w:w="2551"/>
            <w:vAlign w:val="top"/>
          </w:tcPr>
          <w:p>
            <w:r>
              <w:t>A:67; C:22; D:4</w:t>
            </w:r>
          </w:p>
        </w:tc>
        <w:tc>
          <w:tcPr>
            <w:tcW w:type="dxa" w:w="2551"/>
            <w:vAlign w:val="top"/>
          </w:tcPr>
          <w:p>
            <w:r>
              <w:t>A:55; B:9; C:23; D:6</w:t>
            </w:r>
          </w:p>
        </w:tc>
      </w:tr>
      <w:tr>
        <w:trPr>
          <w:cantSplit/>
        </w:trPr>
        <w:tc>
          <w:tcPr>
            <w:tcW w:type="dxa" w:w="2494"/>
            <w:vAlign w:val="top"/>
            <w:shd w:fill="EAF2F8"/>
          </w:tcPr>
          <w:p>
            <w:pPr>
              <w:spacing w:after="0"/>
            </w:pPr>
            <w:r>
              <w:rPr>
                <w:rFonts w:ascii="Noto Sans CJK JP" w:hAnsi="Noto Sans CJK JP" w:eastAsia="Noto Sans CJK JP"/>
                <w:b w:val="0"/>
                <w:color w:val="1F2933"/>
                <w:sz w:val="16"/>
              </w:rPr>
              <w:t>mendeleev_electron_configuration</w:t>
            </w:r>
          </w:p>
        </w:tc>
        <w:tc>
          <w:tcPr>
            <w:tcW w:type="dxa" w:w="737"/>
            <w:vAlign w:val="top"/>
          </w:tcPr>
          <w:p>
            <w:pPr>
              <w:spacing w:after="0"/>
            </w:pPr>
            <w:r>
              <w:rPr>
                <w:rFonts w:ascii="Noto Sans CJK JP" w:hAnsi="Noto Sans CJK JP" w:eastAsia="Noto Sans CJK JP"/>
                <w:b w:val="0"/>
                <w:color w:val="1F2933"/>
                <w:sz w:val="16"/>
              </w:rPr>
              <w:t>19</w:t>
            </w:r>
          </w:p>
        </w:tc>
        <w:tc>
          <w:tcPr>
            <w:tcW w:type="dxa" w:w="737"/>
            <w:vAlign w:val="top"/>
          </w:tcPr>
          <w:p>
            <w:pPr>
              <w:spacing w:after="0"/>
            </w:pPr>
            <w:r>
              <w:rPr>
                <w:rFonts w:ascii="Noto Sans CJK JP" w:hAnsi="Noto Sans CJK JP" w:eastAsia="Noto Sans CJK JP"/>
                <w:b w:val="0"/>
                <w:color w:val="1F2933"/>
                <w:sz w:val="16"/>
              </w:rPr>
              <w:t>19</w:t>
            </w:r>
          </w:p>
        </w:tc>
        <w:tc>
          <w:tcPr>
            <w:tcW w:type="dxa" w:w="2551"/>
            <w:vAlign w:val="top"/>
          </w:tcPr>
          <w:p>
            <w:r>
              <w:t>A:19</w:t>
            </w:r>
          </w:p>
        </w:tc>
        <w:tc>
          <w:tcPr>
            <w:tcW w:type="dxa" w:w="2551"/>
            <w:vAlign w:val="top"/>
          </w:tcPr>
          <w:p>
            <w:r>
              <w:t>C:19</w:t>
            </w:r>
          </w:p>
        </w:tc>
      </w:tr>
      <w:tr>
        <w:trPr>
          <w:cantSplit/>
        </w:trPr>
        <w:tc>
          <w:tcPr>
            <w:tcW w:type="dxa" w:w="2494"/>
            <w:vAlign w:val="top"/>
            <w:shd w:fill="EAF2F8"/>
          </w:tcPr>
          <w:p>
            <w:pPr>
              <w:spacing w:after="0"/>
            </w:pPr>
            <w:r>
              <w:rPr>
                <w:rFonts w:ascii="Noto Sans CJK JP" w:hAnsi="Noto Sans CJK JP" w:eastAsia="Noto Sans CJK JP"/>
                <w:b w:val="0"/>
                <w:color w:val="1F2933"/>
                <w:sz w:val="16"/>
              </w:rPr>
              <w:t>mendeleev_element</w:t>
            </w:r>
          </w:p>
        </w:tc>
        <w:tc>
          <w:tcPr>
            <w:tcW w:type="dxa" w:w="737"/>
            <w:vAlign w:val="top"/>
          </w:tcPr>
          <w:p>
            <w:pPr>
              <w:spacing w:after="0"/>
            </w:pPr>
            <w:r>
              <w:rPr>
                <w:rFonts w:ascii="Noto Sans CJK JP" w:hAnsi="Noto Sans CJK JP" w:eastAsia="Noto Sans CJK JP"/>
                <w:b w:val="0"/>
                <w:color w:val="1F2933"/>
                <w:sz w:val="16"/>
              </w:rPr>
              <w:t>97</w:t>
            </w:r>
          </w:p>
        </w:tc>
        <w:tc>
          <w:tcPr>
            <w:tcW w:type="dxa" w:w="737"/>
            <w:vAlign w:val="top"/>
          </w:tcPr>
          <w:p>
            <w:pPr>
              <w:spacing w:after="0"/>
            </w:pPr>
            <w:r>
              <w:rPr>
                <w:rFonts w:ascii="Noto Sans CJK JP" w:hAnsi="Noto Sans CJK JP" w:eastAsia="Noto Sans CJK JP"/>
                <w:b w:val="0"/>
                <w:color w:val="1F2933"/>
                <w:sz w:val="16"/>
              </w:rPr>
              <w:t>3</w:t>
            </w:r>
          </w:p>
        </w:tc>
        <w:tc>
          <w:tcPr>
            <w:tcW w:type="dxa" w:w="2551"/>
            <w:vAlign w:val="top"/>
          </w:tcPr>
          <w:p>
            <w:r>
              <w:t>A:63; D:34</w:t>
            </w:r>
          </w:p>
        </w:tc>
        <w:tc>
          <w:tcPr>
            <w:tcW w:type="dxa" w:w="2551"/>
            <w:vAlign w:val="top"/>
          </w:tcPr>
          <w:p>
            <w:r>
              <w:t>A:60; D:37</w:t>
            </w:r>
          </w:p>
        </w:tc>
      </w:tr>
      <w:tr>
        <w:trPr>
          <w:cantSplit/>
        </w:trPr>
        <w:tc>
          <w:tcPr>
            <w:tcW w:type="dxa" w:w="2494"/>
            <w:vAlign w:val="top"/>
            <w:shd w:fill="EAF2F8"/>
          </w:tcPr>
          <w:p>
            <w:pPr>
              <w:spacing w:after="0"/>
            </w:pPr>
            <w:r>
              <w:rPr>
                <w:rFonts w:ascii="Noto Sans CJK JP" w:hAnsi="Noto Sans CJK JP" w:eastAsia="Noto Sans CJK JP"/>
                <w:b w:val="0"/>
                <w:color w:val="1F2933"/>
                <w:sz w:val="16"/>
              </w:rPr>
              <w:t>mendeleev_ionization_uncertainty</w:t>
            </w:r>
          </w:p>
        </w:tc>
        <w:tc>
          <w:tcPr>
            <w:tcW w:type="dxa" w:w="737"/>
            <w:vAlign w:val="top"/>
          </w:tcPr>
          <w:p>
            <w:pPr>
              <w:spacing w:after="0"/>
            </w:pPr>
            <w:r>
              <w:rPr>
                <w:rFonts w:ascii="Noto Sans CJK JP" w:hAnsi="Noto Sans CJK JP" w:eastAsia="Noto Sans CJK JP"/>
                <w:b w:val="0"/>
                <w:color w:val="1F2933"/>
                <w:sz w:val="16"/>
              </w:rPr>
              <w:t>74</w:t>
            </w:r>
          </w:p>
        </w:tc>
        <w:tc>
          <w:tcPr>
            <w:tcW w:type="dxa" w:w="737"/>
            <w:vAlign w:val="top"/>
          </w:tcPr>
          <w:p>
            <w:pPr>
              <w:spacing w:after="0"/>
            </w:pPr>
            <w:r>
              <w:rPr>
                <w:rFonts w:ascii="Noto Sans CJK JP" w:hAnsi="Noto Sans CJK JP" w:eastAsia="Noto Sans CJK JP"/>
                <w:b w:val="0"/>
                <w:color w:val="1F2933"/>
                <w:sz w:val="16"/>
              </w:rPr>
              <w:t>44</w:t>
            </w:r>
          </w:p>
        </w:tc>
        <w:tc>
          <w:tcPr>
            <w:tcW w:type="dxa" w:w="2551"/>
            <w:vAlign w:val="top"/>
          </w:tcPr>
          <w:p>
            <w:r>
              <w:t>B:74</w:t>
            </w:r>
          </w:p>
        </w:tc>
        <w:tc>
          <w:tcPr>
            <w:tcW w:type="dxa" w:w="2551"/>
            <w:vAlign w:val="top"/>
          </w:tcPr>
          <w:p>
            <w:r>
              <w:t>B:30; C:44</w:t>
            </w:r>
          </w:p>
        </w:tc>
      </w:tr>
      <w:tr>
        <w:trPr>
          <w:cantSplit/>
        </w:trPr>
        <w:tc>
          <w:tcPr>
            <w:tcW w:type="dxa" w:w="2494"/>
            <w:vAlign w:val="top"/>
            <w:shd w:fill="EAF2F8"/>
          </w:tcPr>
          <w:p>
            <w:pPr>
              <w:spacing w:after="0"/>
            </w:pPr>
            <w:r>
              <w:rPr>
                <w:rFonts w:ascii="Noto Sans CJK JP" w:hAnsi="Noto Sans CJK JP" w:eastAsia="Noto Sans CJK JP"/>
                <w:b w:val="0"/>
                <w:color w:val="1F2933"/>
                <w:sz w:val="16"/>
              </w:rPr>
              <w:t>xenonpy_original</w:t>
            </w:r>
          </w:p>
        </w:tc>
        <w:tc>
          <w:tcPr>
            <w:tcW w:type="dxa" w:w="737"/>
            <w:vAlign w:val="top"/>
          </w:tcPr>
          <w:p>
            <w:pPr>
              <w:spacing w:after="0"/>
            </w:pPr>
            <w:r>
              <w:rPr>
                <w:rFonts w:ascii="Noto Sans CJK JP" w:hAnsi="Noto Sans CJK JP" w:eastAsia="Noto Sans CJK JP"/>
                <w:b w:val="0"/>
                <w:color w:val="1F2933"/>
                <w:sz w:val="16"/>
              </w:rPr>
              <w:t>72</w:t>
            </w:r>
          </w:p>
        </w:tc>
        <w:tc>
          <w:tcPr>
            <w:tcW w:type="dxa" w:w="737"/>
            <w:vAlign w:val="top"/>
          </w:tcPr>
          <w:p>
            <w:pPr>
              <w:spacing w:after="0"/>
            </w:pPr>
            <w:r>
              <w:rPr>
                <w:rFonts w:ascii="Noto Sans CJK JP" w:hAnsi="Noto Sans CJK JP" w:eastAsia="Noto Sans CJK JP"/>
                <w:b w:val="0"/>
                <w:color w:val="1F2933"/>
                <w:sz w:val="16"/>
              </w:rPr>
              <w:t>1</w:t>
            </w:r>
          </w:p>
        </w:tc>
        <w:tc>
          <w:tcPr>
            <w:tcW w:type="dxa" w:w="2551"/>
            <w:vAlign w:val="top"/>
          </w:tcPr>
          <w:p>
            <w:r>
              <w:t>A:70; C:1; D:1</w:t>
            </w:r>
          </w:p>
        </w:tc>
        <w:tc>
          <w:tcPr>
            <w:tcW w:type="dxa" w:w="2551"/>
            <w:vAlign w:val="top"/>
          </w:tcPr>
          <w:p>
            <w:r>
              <w:t>A:71; D:1</w:t>
            </w:r>
          </w:p>
        </w:tc>
      </w:tr>
    </w:tbl>
    <w:p>
      <w:r>
        <w:t>最も大きい変更はmendeleev_ionization_uncertaintyの44列である。絶対不確かさの段階別値はBを維持したが、相対不確かさは不確かさをイオン化エネルギーで除した派生量であり、count、mean、median、range等も段階横断集約であるためCとした。</w:t>
      </w:r>
    </w:p>
    <w:p>
      <w:r>
        <w:t>matminer_demlでは、逐次イオン化エネルギーおよび電荷別の結晶場分裂、磁気モーメント、スピン軌道結合、飽和磁化をBへ移した。valence_s/p/d_from_columnは列番号から計算されるためC、FERE化学ポテンシャルはフィッティングされたモデルパラメータであるためDとした。</w:t>
      </w:r>
    </w:p>
    <w:p>
      <w:r>
        <w:t>mendeleev_electron_configurationの19列は、元の電子配置文字列を副殻別占有数へ解析したものであり、物理的意味は明確であるが生成経路は透明なパース処理であるためCとした。</w:t>
      </w:r>
    </w:p>
    <w:p>
      <w:pPr>
        <w:pStyle w:val="Heading1"/>
      </w:pPr>
      <w:r>
        <w:t>7. 公開版CSVへの影響</w:t>
      </w:r>
    </w:p>
    <w:p>
      <w:r>
        <w:t>120件の変更のうち、A–CとD–Gの境界を越え、かつGREEN出典として公開CSVに含まれているものは3列であった。これらはMendeleev元素表に含まれるMiedemaモデル量であり、一般的な元素固有物性ではなく特定の経験モデル用パラメータとしてDへ移すことを推奨する。</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2521"/>
        <w:gridCol w:w="2521"/>
        <w:gridCol w:w="2521"/>
        <w:gridCol w:w="2521"/>
      </w:tblGrid>
      <w:tr>
        <w:trPr>
          <w:tblHeader w:val="true"/>
          <w:cantSplit/>
        </w:trPr>
        <w:tc>
          <w:tcPr>
            <w:tcW w:type="dxa" w:w="3402"/>
            <w:shd w:fill="C9782A"/>
            <w:vAlign w:val="center"/>
          </w:tcPr>
          <w:p>
            <w:pPr>
              <w:spacing w:after="0"/>
            </w:pPr>
            <w:r>
              <w:rPr>
                <w:rFonts w:ascii="Noto Sans CJK JP" w:hAnsi="Noto Sans CJK JP" w:eastAsia="Noto Sans CJK JP"/>
                <w:b/>
                <w:color w:val="FFFFFF"/>
                <w:sz w:val="16"/>
              </w:rPr>
              <w:t>特徴量</w:t>
            </w:r>
          </w:p>
        </w:tc>
        <w:tc>
          <w:tcPr>
            <w:tcW w:type="dxa" w:w="1984"/>
            <w:shd w:fill="C9782A"/>
            <w:vAlign w:val="center"/>
          </w:tcPr>
          <w:p>
            <w:pPr>
              <w:spacing w:after="0"/>
            </w:pPr>
            <w:r>
              <w:rPr>
                <w:rFonts w:ascii="Noto Sans CJK JP" w:hAnsi="Noto Sans CJK JP" w:eastAsia="Noto Sans CJK JP"/>
                <w:b/>
                <w:color w:val="FFFFFF"/>
                <w:sz w:val="16"/>
              </w:rPr>
              <w:t>現在</w:t>
            </w:r>
          </w:p>
        </w:tc>
        <w:tc>
          <w:tcPr>
            <w:tcW w:type="dxa" w:w="1984"/>
            <w:shd w:fill="C9782A"/>
            <w:vAlign w:val="center"/>
          </w:tcPr>
          <w:p>
            <w:pPr>
              <w:spacing w:after="0"/>
            </w:pPr>
            <w:r>
              <w:rPr>
                <w:rFonts w:ascii="Noto Sans CJK JP" w:hAnsi="Noto Sans CJK JP" w:eastAsia="Noto Sans CJK JP"/>
                <w:b/>
                <w:color w:val="FFFFFF"/>
                <w:sz w:val="16"/>
              </w:rPr>
              <w:t>裁定案</w:t>
            </w:r>
          </w:p>
        </w:tc>
        <w:tc>
          <w:tcPr>
            <w:tcW w:type="dxa" w:w="1701"/>
            <w:shd w:fill="C9782A"/>
            <w:vAlign w:val="center"/>
          </w:tcPr>
          <w:p>
            <w:pPr>
              <w:spacing w:after="0"/>
            </w:pPr>
            <w:r>
              <w:rPr>
                <w:rFonts w:ascii="Noto Sans CJK JP" w:hAnsi="Noto Sans CJK JP" w:eastAsia="Noto Sans CJK JP"/>
                <w:b/>
                <w:color w:val="FFFFFF"/>
                <w:sz w:val="16"/>
              </w:rPr>
              <w:t>推奨移動</w:t>
            </w:r>
          </w:p>
        </w:tc>
      </w:tr>
      <w:tr>
        <w:trPr>
          <w:cantSplit/>
        </w:trPr>
        <w:tc>
          <w:tcPr>
            <w:tcW w:type="dxa" w:w="3402"/>
            <w:vAlign w:val="top"/>
            <w:shd w:fill="EAF2F8"/>
          </w:tcPr>
          <w:p>
            <w:pPr>
              <w:spacing w:after="0"/>
            </w:pPr>
            <w:r>
              <w:rPr>
                <w:rFonts w:ascii="Noto Sans CJK JP" w:hAnsi="Noto Sans CJK JP" w:eastAsia="Noto Sans CJK JP"/>
                <w:b w:val="0"/>
                <w:color w:val="1F2933"/>
                <w:sz w:val="16"/>
              </w:rPr>
              <w:t>mend_elem__en_miedema</w:t>
            </w:r>
          </w:p>
        </w:tc>
        <w:tc>
          <w:tcPr>
            <w:tcW w:type="dxa" w:w="1984"/>
            <w:vAlign w:val="top"/>
          </w:tcPr>
          <w:p>
            <w:pPr>
              <w:spacing w:after="0"/>
            </w:pPr>
            <w:r>
              <w:rPr>
                <w:rFonts w:ascii="Noto Sans CJK JP" w:hAnsi="Noto Sans CJK JP" w:eastAsia="Noto Sans CJK JP"/>
                <w:b w:val="0"/>
                <w:color w:val="1F2933"/>
                <w:sz w:val="16"/>
              </w:rPr>
              <w:t>A_strict_direct</w:t>
            </w:r>
          </w:p>
        </w:tc>
        <w:tc>
          <w:tcPr>
            <w:tcW w:type="dxa" w:w="1984"/>
            <w:vAlign w:val="top"/>
          </w:tcPr>
          <w:p>
            <w:pPr>
              <w:spacing w:after="0"/>
            </w:pPr>
            <w:r>
              <w:rPr>
                <w:rFonts w:ascii="Noto Sans CJK JP" w:hAnsi="Noto Sans CJK JP" w:eastAsia="Noto Sans CJK JP"/>
                <w:b w:val="0"/>
                <w:color w:val="1F2933"/>
                <w:sz w:val="16"/>
              </w:rPr>
              <w:t>D_empirical_contextual_auxiliary</w:t>
            </w:r>
          </w:p>
        </w:tc>
        <w:tc>
          <w:tcPr>
            <w:tcW w:type="dxa" w:w="1701"/>
            <w:vAlign w:val="top"/>
          </w:tcPr>
          <w:p>
            <w:pPr>
              <w:spacing w:after="0"/>
            </w:pPr>
            <w:r>
              <w:rPr>
                <w:rFonts w:ascii="Noto Sans CJK JP" w:hAnsi="Noto Sans CJK JP" w:eastAsia="Noto Sans CJK JP"/>
                <w:b w:val="0"/>
                <w:color w:val="1F2933"/>
                <w:sz w:val="16"/>
              </w:rPr>
              <w:t>interpretable → others</w:t>
            </w:r>
          </w:p>
        </w:tc>
      </w:tr>
      <w:tr>
        <w:trPr>
          <w:cantSplit/>
        </w:trPr>
        <w:tc>
          <w:tcPr>
            <w:tcW w:type="dxa" w:w="3402"/>
            <w:vAlign w:val="top"/>
            <w:shd w:fill="EAF2F8"/>
          </w:tcPr>
          <w:p>
            <w:pPr>
              <w:spacing w:after="0"/>
            </w:pPr>
            <w:r>
              <w:rPr>
                <w:rFonts w:ascii="Noto Sans CJK JP" w:hAnsi="Noto Sans CJK JP" w:eastAsia="Noto Sans CJK JP"/>
                <w:b w:val="0"/>
                <w:color w:val="1F2933"/>
                <w:sz w:val="16"/>
              </w:rPr>
              <w:t>mend_elem__miedema_molar_volume</w:t>
            </w:r>
          </w:p>
        </w:tc>
        <w:tc>
          <w:tcPr>
            <w:tcW w:type="dxa" w:w="1984"/>
            <w:vAlign w:val="top"/>
          </w:tcPr>
          <w:p>
            <w:pPr>
              <w:spacing w:after="0"/>
            </w:pPr>
            <w:r>
              <w:rPr>
                <w:rFonts w:ascii="Noto Sans CJK JP" w:hAnsi="Noto Sans CJK JP" w:eastAsia="Noto Sans CJK JP"/>
                <w:b w:val="0"/>
                <w:color w:val="1F2933"/>
                <w:sz w:val="16"/>
              </w:rPr>
              <w:t>A_strict_direct</w:t>
            </w:r>
          </w:p>
        </w:tc>
        <w:tc>
          <w:tcPr>
            <w:tcW w:type="dxa" w:w="1984"/>
            <w:vAlign w:val="top"/>
          </w:tcPr>
          <w:p>
            <w:pPr>
              <w:spacing w:after="0"/>
            </w:pPr>
            <w:r>
              <w:rPr>
                <w:rFonts w:ascii="Noto Sans CJK JP" w:hAnsi="Noto Sans CJK JP" w:eastAsia="Noto Sans CJK JP"/>
                <w:b w:val="0"/>
                <w:color w:val="1F2933"/>
                <w:sz w:val="16"/>
              </w:rPr>
              <w:t>D_empirical_contextual_auxiliary</w:t>
            </w:r>
          </w:p>
        </w:tc>
        <w:tc>
          <w:tcPr>
            <w:tcW w:type="dxa" w:w="1701"/>
            <w:vAlign w:val="top"/>
          </w:tcPr>
          <w:p>
            <w:pPr>
              <w:spacing w:after="0"/>
            </w:pPr>
            <w:r>
              <w:rPr>
                <w:rFonts w:ascii="Noto Sans CJK JP" w:hAnsi="Noto Sans CJK JP" w:eastAsia="Noto Sans CJK JP"/>
                <w:b w:val="0"/>
                <w:color w:val="1F2933"/>
                <w:sz w:val="16"/>
              </w:rPr>
              <w:t>interpretable → others</w:t>
            </w:r>
          </w:p>
        </w:tc>
      </w:tr>
      <w:tr>
        <w:trPr>
          <w:cantSplit/>
        </w:trPr>
        <w:tc>
          <w:tcPr>
            <w:tcW w:type="dxa" w:w="3402"/>
            <w:vAlign w:val="top"/>
            <w:shd w:fill="EAF2F8"/>
          </w:tcPr>
          <w:p>
            <w:pPr>
              <w:spacing w:after="0"/>
            </w:pPr>
            <w:r>
              <w:rPr>
                <w:rFonts w:ascii="Noto Sans CJK JP" w:hAnsi="Noto Sans CJK JP" w:eastAsia="Noto Sans CJK JP"/>
                <w:b w:val="0"/>
                <w:color w:val="1F2933"/>
                <w:sz w:val="16"/>
              </w:rPr>
              <w:t>mend_elem__miedema_electron_density</w:t>
            </w:r>
          </w:p>
        </w:tc>
        <w:tc>
          <w:tcPr>
            <w:tcW w:type="dxa" w:w="1984"/>
            <w:vAlign w:val="top"/>
          </w:tcPr>
          <w:p>
            <w:pPr>
              <w:spacing w:after="0"/>
            </w:pPr>
            <w:r>
              <w:rPr>
                <w:rFonts w:ascii="Noto Sans CJK JP" w:hAnsi="Noto Sans CJK JP" w:eastAsia="Noto Sans CJK JP"/>
                <w:b w:val="0"/>
                <w:color w:val="1F2933"/>
                <w:sz w:val="16"/>
              </w:rPr>
              <w:t>A_strict_direct</w:t>
            </w:r>
          </w:p>
        </w:tc>
        <w:tc>
          <w:tcPr>
            <w:tcW w:type="dxa" w:w="1984"/>
            <w:vAlign w:val="top"/>
          </w:tcPr>
          <w:p>
            <w:pPr>
              <w:spacing w:after="0"/>
            </w:pPr>
            <w:r>
              <w:rPr>
                <w:rFonts w:ascii="Noto Sans CJK JP" w:hAnsi="Noto Sans CJK JP" w:eastAsia="Noto Sans CJK JP"/>
                <w:b w:val="0"/>
                <w:color w:val="1F2933"/>
                <w:sz w:val="16"/>
              </w:rPr>
              <w:t>D_empirical_contextual_auxiliary</w:t>
            </w:r>
          </w:p>
        </w:tc>
        <w:tc>
          <w:tcPr>
            <w:tcW w:type="dxa" w:w="1701"/>
            <w:vAlign w:val="top"/>
          </w:tcPr>
          <w:p>
            <w:pPr>
              <w:spacing w:after="0"/>
            </w:pPr>
            <w:r>
              <w:rPr>
                <w:rFonts w:ascii="Noto Sans CJK JP" w:hAnsi="Noto Sans CJK JP" w:eastAsia="Noto Sans CJK JP"/>
                <w:b w:val="0"/>
                <w:color w:val="1F2933"/>
                <w:sz w:val="16"/>
              </w:rPr>
              <w:t>interpretable → others</w:t>
            </w:r>
          </w:p>
        </w:tc>
      </w:tr>
    </w:tbl>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2521"/>
        <w:gridCol w:w="2521"/>
        <w:gridCol w:w="2521"/>
        <w:gridCol w:w="2521"/>
      </w:tblGrid>
      <w:tr>
        <w:trPr>
          <w:tblHeader w:val="true"/>
          <w:cantSplit/>
        </w:trPr>
        <w:tc>
          <w:tcPr>
            <w:tcW w:type="dxa" w:w="3969"/>
            <w:shd w:fill="17365D"/>
            <w:vAlign w:val="center"/>
          </w:tcPr>
          <w:p>
            <w:pPr>
              <w:spacing w:after="0"/>
            </w:pPr>
            <w:r>
              <w:rPr>
                <w:rFonts w:ascii="Noto Sans CJK JP" w:hAnsi="Noto Sans CJK JP" w:eastAsia="Noto Sans CJK JP"/>
                <w:b/>
                <w:color w:val="FFFFFF"/>
                <w:sz w:val="16"/>
              </w:rPr>
              <w:t>公開ファイル</w:t>
            </w:r>
          </w:p>
        </w:tc>
        <w:tc>
          <w:tcPr>
            <w:tcW w:type="dxa" w:w="1701"/>
            <w:shd w:fill="17365D"/>
            <w:vAlign w:val="center"/>
          </w:tcPr>
          <w:p>
            <w:pPr>
              <w:spacing w:after="0"/>
            </w:pPr>
            <w:r>
              <w:rPr>
                <w:rFonts w:ascii="Noto Sans CJK JP" w:hAnsi="Noto Sans CJK JP" w:eastAsia="Noto Sans CJK JP"/>
                <w:b/>
                <w:color w:val="FFFFFF"/>
                <w:sz w:val="16"/>
              </w:rPr>
              <w:t>現在</w:t>
            </w:r>
          </w:p>
        </w:tc>
        <w:tc>
          <w:tcPr>
            <w:tcW w:type="dxa" w:w="1984"/>
            <w:shd w:fill="17365D"/>
            <w:vAlign w:val="center"/>
          </w:tcPr>
          <w:p>
            <w:pPr>
              <w:spacing w:after="0"/>
            </w:pPr>
            <w:r>
              <w:rPr>
                <w:rFonts w:ascii="Noto Sans CJK JP" w:hAnsi="Noto Sans CJK JP" w:eastAsia="Noto Sans CJK JP"/>
                <w:b/>
                <w:color w:val="FFFFFF"/>
                <w:sz w:val="16"/>
              </w:rPr>
              <w:t>裁定後プレビュー</w:t>
            </w:r>
          </w:p>
        </w:tc>
        <w:tc>
          <w:tcPr>
            <w:tcW w:type="dxa" w:w="1417"/>
            <w:shd w:fill="17365D"/>
            <w:vAlign w:val="center"/>
          </w:tcPr>
          <w:p>
            <w:pPr>
              <w:spacing w:after="0"/>
            </w:pPr>
            <w:r>
              <w:rPr>
                <w:rFonts w:ascii="Noto Sans CJK JP" w:hAnsi="Noto Sans CJK JP" w:eastAsia="Noto Sans CJK JP"/>
                <w:b/>
                <w:color w:val="FFFFFF"/>
                <w:sz w:val="16"/>
              </w:rPr>
              <w:t>差分</w:t>
            </w:r>
          </w:p>
        </w:tc>
      </w:tr>
      <w:tr>
        <w:trPr>
          <w:cantSplit/>
        </w:trPr>
        <w:tc>
          <w:tcPr>
            <w:tcW w:type="dxa" w:w="3969"/>
            <w:vAlign w:val="top"/>
            <w:shd w:fill="EAF2F8"/>
          </w:tcPr>
          <w:p>
            <w:pPr>
              <w:spacing w:after="0"/>
            </w:pPr>
            <w:r>
              <w:rPr>
                <w:rFonts w:ascii="Noto Sans CJK JP" w:hAnsi="Noto Sans CJK JP" w:eastAsia="Noto Sans CJK JP"/>
                <w:b w:val="0"/>
                <w:color w:val="1F2933"/>
                <w:sz w:val="16"/>
              </w:rPr>
              <w:t>element_data_interpretable.csv</w:t>
            </w:r>
          </w:p>
        </w:tc>
        <w:tc>
          <w:tcPr>
            <w:tcW w:type="dxa" w:w="1701"/>
            <w:vAlign w:val="top"/>
          </w:tcPr>
          <w:p>
            <w:pPr>
              <w:spacing w:after="0"/>
            </w:pPr>
            <w:r>
              <w:rPr>
                <w:rFonts w:ascii="Noto Sans CJK JP" w:hAnsi="Noto Sans CJK JP" w:eastAsia="Noto Sans CJK JP"/>
                <w:b w:val="0"/>
                <w:color w:val="1F2933"/>
                <w:sz w:val="16"/>
              </w:rPr>
              <w:t>825</w:t>
            </w:r>
          </w:p>
        </w:tc>
        <w:tc>
          <w:tcPr>
            <w:tcW w:type="dxa" w:w="1984"/>
            <w:vAlign w:val="top"/>
          </w:tcPr>
          <w:p>
            <w:pPr>
              <w:spacing w:after="0"/>
            </w:pPr>
            <w:r>
              <w:rPr>
                <w:rFonts w:ascii="Noto Sans CJK JP" w:hAnsi="Noto Sans CJK JP" w:eastAsia="Noto Sans CJK JP"/>
                <w:b w:val="0"/>
                <w:color w:val="1F2933"/>
                <w:sz w:val="16"/>
              </w:rPr>
              <w:t>822</w:t>
            </w:r>
          </w:p>
        </w:tc>
        <w:tc>
          <w:tcPr>
            <w:tcW w:type="dxa" w:w="1417"/>
            <w:vAlign w:val="top"/>
          </w:tcPr>
          <w:p>
            <w:pPr>
              <w:spacing w:after="0"/>
            </w:pPr>
            <w:r>
              <w:rPr>
                <w:rFonts w:ascii="Noto Sans CJK JP" w:hAnsi="Noto Sans CJK JP" w:eastAsia="Noto Sans CJK JP"/>
                <w:b w:val="0"/>
                <w:color w:val="1F2933"/>
                <w:sz w:val="16"/>
              </w:rPr>
              <w:t>-3</w:t>
            </w:r>
          </w:p>
        </w:tc>
      </w:tr>
      <w:tr>
        <w:trPr>
          <w:cantSplit/>
        </w:trPr>
        <w:tc>
          <w:tcPr>
            <w:tcW w:type="dxa" w:w="3969"/>
            <w:vAlign w:val="top"/>
            <w:shd w:fill="EAF2F8"/>
          </w:tcPr>
          <w:p>
            <w:pPr>
              <w:spacing w:after="0"/>
            </w:pPr>
            <w:r>
              <w:rPr>
                <w:rFonts w:ascii="Noto Sans CJK JP" w:hAnsi="Noto Sans CJK JP" w:eastAsia="Noto Sans CJK JP"/>
                <w:b w:val="0"/>
                <w:color w:val="1F2933"/>
                <w:sz w:val="16"/>
              </w:rPr>
              <w:t>element_data_others.csv</w:t>
            </w:r>
          </w:p>
        </w:tc>
        <w:tc>
          <w:tcPr>
            <w:tcW w:type="dxa" w:w="1701"/>
            <w:vAlign w:val="top"/>
          </w:tcPr>
          <w:p>
            <w:pPr>
              <w:spacing w:after="0"/>
            </w:pPr>
            <w:r>
              <w:rPr>
                <w:rFonts w:ascii="Noto Sans CJK JP" w:hAnsi="Noto Sans CJK JP" w:eastAsia="Noto Sans CJK JP"/>
                <w:b w:val="0"/>
                <w:color w:val="1F2933"/>
                <w:sz w:val="16"/>
              </w:rPr>
              <w:t>941</w:t>
            </w:r>
          </w:p>
        </w:tc>
        <w:tc>
          <w:tcPr>
            <w:tcW w:type="dxa" w:w="1984"/>
            <w:vAlign w:val="top"/>
          </w:tcPr>
          <w:p>
            <w:pPr>
              <w:spacing w:after="0"/>
            </w:pPr>
            <w:r>
              <w:rPr>
                <w:rFonts w:ascii="Noto Sans CJK JP" w:hAnsi="Noto Sans CJK JP" w:eastAsia="Noto Sans CJK JP"/>
                <w:b w:val="0"/>
                <w:color w:val="1F2933"/>
                <w:sz w:val="16"/>
              </w:rPr>
              <w:t>944</w:t>
            </w:r>
          </w:p>
        </w:tc>
        <w:tc>
          <w:tcPr>
            <w:tcW w:type="dxa" w:w="1417"/>
            <w:vAlign w:val="top"/>
          </w:tcPr>
          <w:p>
            <w:pPr>
              <w:spacing w:after="0"/>
            </w:pPr>
            <w:r>
              <w:rPr>
                <w:rFonts w:ascii="Noto Sans CJK JP" w:hAnsi="Noto Sans CJK JP" w:eastAsia="Noto Sans CJK JP"/>
                <w:b w:val="0"/>
                <w:color w:val="1F2933"/>
                <w:sz w:val="16"/>
              </w:rPr>
              <w:t>+3</w:t>
            </w:r>
          </w:p>
        </w:tc>
      </w:tr>
      <w:tr>
        <w:trPr>
          <w:cantSplit/>
        </w:trPr>
        <w:tc>
          <w:tcPr>
            <w:tcW w:type="dxa" w:w="3969"/>
            <w:vAlign w:val="top"/>
            <w:shd w:fill="EAF2F8"/>
          </w:tcPr>
          <w:p>
            <w:pPr>
              <w:spacing w:after="0"/>
            </w:pPr>
            <w:r>
              <w:rPr>
                <w:rFonts w:ascii="Noto Sans CJK JP" w:hAnsi="Noto Sans CJK JP" w:eastAsia="Noto Sans CJK JP"/>
                <w:b w:val="0"/>
                <w:color w:val="1F2933"/>
                <w:sz w:val="16"/>
              </w:rPr>
              <w:t>合計</w:t>
            </w:r>
          </w:p>
        </w:tc>
        <w:tc>
          <w:tcPr>
            <w:tcW w:type="dxa" w:w="1701"/>
            <w:vAlign w:val="top"/>
          </w:tcPr>
          <w:p>
            <w:pPr>
              <w:spacing w:after="0"/>
            </w:pPr>
            <w:r>
              <w:rPr>
                <w:rFonts w:ascii="Noto Sans CJK JP" w:hAnsi="Noto Sans CJK JP" w:eastAsia="Noto Sans CJK JP"/>
                <w:b w:val="0"/>
                <w:color w:val="1F2933"/>
                <w:sz w:val="16"/>
              </w:rPr>
              <w:t>1,766</w:t>
            </w:r>
          </w:p>
        </w:tc>
        <w:tc>
          <w:tcPr>
            <w:tcW w:type="dxa" w:w="1984"/>
            <w:vAlign w:val="top"/>
          </w:tcPr>
          <w:p>
            <w:pPr>
              <w:spacing w:after="0"/>
            </w:pPr>
            <w:r>
              <w:rPr>
                <w:rFonts w:ascii="Noto Sans CJK JP" w:hAnsi="Noto Sans CJK JP" w:eastAsia="Noto Sans CJK JP"/>
                <w:b w:val="0"/>
                <w:color w:val="1F2933"/>
                <w:sz w:val="16"/>
              </w:rPr>
              <w:t>1,766</w:t>
            </w:r>
          </w:p>
        </w:tc>
        <w:tc>
          <w:tcPr>
            <w:tcW w:type="dxa" w:w="1417"/>
            <w:vAlign w:val="top"/>
          </w:tcPr>
          <w:p>
            <w:pPr>
              <w:spacing w:after="0"/>
            </w:pPr>
            <w:r>
              <w:rPr>
                <w:rFonts w:ascii="Noto Sans CJK JP" w:hAnsi="Noto Sans CJK JP" w:eastAsia="Noto Sans CJK JP"/>
                <w:b w:val="0"/>
                <w:color w:val="1F2933"/>
                <w:sz w:val="16"/>
              </w:rPr>
              <w:t>0</w:t>
            </w:r>
          </w:p>
        </w:tc>
      </w:tr>
    </w:tbl>
    <w:p>
      <w:r>
        <w:t>他の117件はA/B/C内またはD/E/F/G内の移動であるため、二つの公開CSV間の境界には影響しない。本パッケージには3列を移動したプレビューCSVを含めたが、既存公開版は変更していない。</w:t>
      </w:r>
    </w:p>
    <w:p>
      <w:pPr>
        <w:pStyle w:val="Heading1"/>
      </w:pPr>
      <w:r>
        <w:t>8. Technical Validation TV-036</w:t>
      </w:r>
    </w:p>
    <w:p>
      <w:r>
        <w:t>事前仕様では、二名以上の独立分類とCohenのκ≥0.80を目標としていた。本レビューでは数値基準を満たしたため、TV-036をDEFERREDからPASS WITH NOTEへ更新する案を作成した。</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5043"/>
        <w:gridCol w:w="5043"/>
      </w:tblGrid>
      <w:tr>
        <w:trPr>
          <w:tblHeader w:val="true"/>
          <w:cantSplit/>
        </w:trPr>
        <w:tc>
          <w:tcPr>
            <w:tcW w:type="dxa" w:w="2268"/>
            <w:shd w:fill="1B7F79"/>
            <w:vAlign w:val="center"/>
          </w:tcPr>
          <w:p>
            <w:pPr>
              <w:spacing w:after="0"/>
            </w:pPr>
            <w:r>
              <w:rPr>
                <w:rFonts w:ascii="Noto Sans CJK JP" w:hAnsi="Noto Sans CJK JP" w:eastAsia="Noto Sans CJK JP"/>
                <w:b/>
                <w:color w:val="FFFFFF"/>
                <w:sz w:val="16"/>
              </w:rPr>
              <w:t>項目</w:t>
            </w:r>
          </w:p>
        </w:tc>
        <w:tc>
          <w:tcPr>
            <w:tcW w:type="dxa" w:w="6803"/>
            <w:shd w:fill="1B7F79"/>
            <w:vAlign w:val="center"/>
          </w:tcPr>
          <w:p>
            <w:pPr>
              <w:spacing w:after="0"/>
            </w:pPr>
            <w:r>
              <w:rPr>
                <w:rFonts w:ascii="Noto Sans CJK JP" w:hAnsi="Noto Sans CJK JP" w:eastAsia="Noto Sans CJK JP"/>
                <w:b/>
                <w:color w:val="FFFFFF"/>
                <w:sz w:val="16"/>
              </w:rPr>
              <w:t>更新案</w:t>
            </w:r>
          </w:p>
        </w:tc>
      </w:tr>
      <w:tr>
        <w:trPr>
          <w:cantSplit/>
        </w:trPr>
        <w:tc>
          <w:tcPr>
            <w:tcW w:type="dxa" w:w="2268"/>
            <w:vAlign w:val="top"/>
            <w:shd w:fill="EAF2F8"/>
          </w:tcPr>
          <w:p>
            <w:pPr>
              <w:spacing w:after="0"/>
            </w:pPr>
            <w:r>
              <w:rPr>
                <w:rFonts w:ascii="Noto Sans CJK JP" w:hAnsi="Noto Sans CJK JP" w:eastAsia="Noto Sans CJK JP"/>
                <w:b w:val="0"/>
                <w:color w:val="1F2933"/>
                <w:sz w:val="16"/>
              </w:rPr>
              <w:t>Status</w:t>
            </w:r>
          </w:p>
        </w:tc>
        <w:tc>
          <w:tcPr>
            <w:tcW w:type="dxa" w:w="6803"/>
            <w:vAlign w:val="top"/>
          </w:tcPr>
          <w:p>
            <w:pPr>
              <w:spacing w:after="0"/>
            </w:pPr>
            <w:r>
              <w:rPr>
                <w:rFonts w:ascii="Noto Sans CJK JP" w:hAnsi="Noto Sans CJK JP" w:eastAsia="Noto Sans CJK JP"/>
                <w:b w:val="0"/>
                <w:color w:val="1F2933"/>
                <w:sz w:val="16"/>
              </w:rPr>
              <w:t>PASS WITH NOTE</w:t>
            </w:r>
          </w:p>
        </w:tc>
      </w:tr>
      <w:tr>
        <w:trPr>
          <w:cantSplit/>
        </w:trPr>
        <w:tc>
          <w:tcPr>
            <w:tcW w:type="dxa" w:w="2268"/>
            <w:vAlign w:val="top"/>
            <w:shd w:fill="EAF2F8"/>
          </w:tcPr>
          <w:p>
            <w:pPr>
              <w:spacing w:after="0"/>
            </w:pPr>
            <w:r>
              <w:rPr>
                <w:rFonts w:ascii="Noto Sans CJK JP" w:hAnsi="Noto Sans CJK JP" w:eastAsia="Noto Sans CJK JP"/>
                <w:b w:val="0"/>
                <w:color w:val="1F2933"/>
                <w:sz w:val="16"/>
              </w:rPr>
              <w:t>Observed</w:t>
            </w:r>
          </w:p>
        </w:tc>
        <w:tc>
          <w:tcPr>
            <w:tcW w:type="dxa" w:w="6803"/>
            <w:vAlign w:val="top"/>
          </w:tcPr>
          <w:p>
            <w:pPr>
              <w:spacing w:after="0"/>
            </w:pPr>
            <w:r>
              <w:rPr>
                <w:rFonts w:ascii="Noto Sans CJK JP" w:hAnsi="Noto Sans CJK JP" w:eastAsia="Noto Sans CJK JP"/>
                <w:b w:val="0"/>
                <w:color w:val="1F2933"/>
                <w:sz w:val="16"/>
              </w:rPr>
              <w:t>完全一致97.69%、κ=0.9607、120件を裁定</w:t>
            </w:r>
          </w:p>
        </w:tc>
      </w:tr>
      <w:tr>
        <w:trPr>
          <w:cantSplit/>
        </w:trPr>
        <w:tc>
          <w:tcPr>
            <w:tcW w:type="dxa" w:w="2268"/>
            <w:vAlign w:val="top"/>
            <w:shd w:fill="EAF2F8"/>
          </w:tcPr>
          <w:p>
            <w:pPr>
              <w:spacing w:after="0"/>
            </w:pPr>
            <w:r>
              <w:rPr>
                <w:rFonts w:ascii="Noto Sans CJK JP" w:hAnsi="Noto Sans CJK JP" w:eastAsia="Noto Sans CJK JP"/>
                <w:b w:val="0"/>
                <w:color w:val="1F2933"/>
                <w:sz w:val="16"/>
              </w:rPr>
              <w:t>Evidence</w:t>
            </w:r>
          </w:p>
        </w:tc>
        <w:tc>
          <w:tcPr>
            <w:tcW w:type="dxa" w:w="6803"/>
            <w:vAlign w:val="top"/>
          </w:tcPr>
          <w:p>
            <w:pPr>
              <w:spacing w:after="0"/>
            </w:pPr>
            <w:r>
              <w:rPr>
                <w:rFonts w:ascii="Noto Sans CJK JP" w:hAnsi="Noto Sans CJK JP" w:eastAsia="Noto Sans CJK JP"/>
                <w:b w:val="0"/>
                <w:color w:val="1F2933"/>
                <w:sz w:val="16"/>
              </w:rPr>
              <w:t>reviewer2_assignments.csv、interpretability_adjudication.csv、tier_agreement_metrics.csv</w:t>
            </w:r>
          </w:p>
        </w:tc>
      </w:tr>
      <w:tr>
        <w:trPr>
          <w:cantSplit/>
        </w:trPr>
        <w:tc>
          <w:tcPr>
            <w:tcW w:type="dxa" w:w="2268"/>
            <w:vAlign w:val="top"/>
            <w:shd w:fill="EAF2F8"/>
          </w:tcPr>
          <w:p>
            <w:pPr>
              <w:spacing w:after="0"/>
            </w:pPr>
            <w:r>
              <w:rPr>
                <w:rFonts w:ascii="Noto Sans CJK JP" w:hAnsi="Noto Sans CJK JP" w:eastAsia="Noto Sans CJK JP"/>
                <w:b w:val="0"/>
                <w:color w:val="1F2933"/>
                <w:sz w:val="16"/>
              </w:rPr>
              <w:t>注記</w:t>
            </w:r>
          </w:p>
        </w:tc>
        <w:tc>
          <w:tcPr>
            <w:tcW w:type="dxa" w:w="6803"/>
            <w:vAlign w:val="top"/>
          </w:tcPr>
          <w:p>
            <w:pPr>
              <w:spacing w:after="0"/>
            </w:pPr>
            <w:r>
              <w:rPr>
                <w:rFonts w:ascii="Noto Sans CJK JP" w:hAnsi="Noto Sans CJK JP" w:eastAsia="Noto Sans CJK JP"/>
                <w:b w:val="0"/>
                <w:color w:val="1F2933"/>
                <w:sz w:val="16"/>
              </w:rPr>
              <w:t>AI支援型の盲検再評価であり、人間の独立評価者ではない。</w:t>
            </w:r>
          </w:p>
        </w:tc>
      </w:tr>
    </w:tbl>
    <w:p>
      <w:pPr>
        <w:pStyle w:val="Heading1"/>
      </w:pPr>
      <w:r>
        <w:t>9. 論文での記載方法</w:t>
      </w:r>
    </w:p>
    <w:p>
      <w:r>
        <w:t>「全5,200特徴量のうち5,080特徴量で初回分類と第二評価が一致し、完全一致率は97.69%、7分類のCohenのκは0.9607であった。Gを除く2,034特徴量に限定したκは0.9189であった。不一致120件を操作的基準に照らして裁定した。」</w:t>
      </w:r>
    </w:p>
    <w:p>
      <w:r>
        <w:t>ただし、現時点の第二評価はAI支援型である。投稿原稿で「二名の独立した人間評価者」と主張してはならない。人間の専門家が本裁定表を確認した場合は、評価者属性、独立評価の方法、kappa計算、および合議手順を改めて記載する。</w:t>
      </w:r>
    </w:p>
    <w:p>
      <w:pPr>
        <w:pStyle w:val="Heading1"/>
      </w:pPr>
      <w:r>
        <w:t>10. 提供ファイル</w:t>
      </w:r>
    </w:p>
    <w:tbl>
      <w:tblPr>
        <w:tblW w:type="auto" w:w="0"/>
        <w:jc w:val="center"/>
        <w:tblLayout w:type="fixed"/>
        <w:tblLook w:firstColumn="1" w:firstRow="1" w:lastColumn="0" w:lastRow="0" w:noHBand="0" w:noVBand="1" w:val="04A0"/>
        <w:tblBorders>
          <w:top w:val="single" w:sz="4" w:color="B7C9DB" w:space="0"/>
          <w:left w:val="single" w:sz="4" w:color="B7C9DB" w:space="0"/>
          <w:bottom w:val="single" w:sz="4" w:color="B7C9DB" w:space="0"/>
          <w:right w:val="single" w:sz="4" w:color="B7C9DB" w:space="0"/>
          <w:insideH w:val="single" w:sz="4" w:color="B7C9DB" w:space="0"/>
          <w:insideV w:val="single" w:sz="4" w:color="B7C9DB" w:space="0"/>
        </w:tblBorders>
      </w:tblPr>
      <w:tblGrid>
        <w:gridCol w:w="5043"/>
        <w:gridCol w:w="5043"/>
      </w:tblGrid>
      <w:tr>
        <w:trPr>
          <w:tblHeader w:val="true"/>
          <w:cantSplit/>
        </w:trPr>
        <w:tc>
          <w:tcPr>
            <w:tcW w:type="dxa" w:w="3969"/>
            <w:shd w:fill="17365D"/>
            <w:vAlign w:val="center"/>
          </w:tcPr>
          <w:p>
            <w:pPr>
              <w:spacing w:after="0"/>
            </w:pPr>
            <w:r>
              <w:rPr>
                <w:rFonts w:ascii="Noto Sans CJK JP" w:hAnsi="Noto Sans CJK JP" w:eastAsia="Noto Sans CJK JP"/>
                <w:b/>
                <w:color w:val="FFFFFF"/>
                <w:sz w:val="16"/>
              </w:rPr>
              <w:t>ファイル</w:t>
            </w:r>
          </w:p>
        </w:tc>
        <w:tc>
          <w:tcPr>
            <w:tcW w:type="dxa" w:w="5102"/>
            <w:shd w:fill="17365D"/>
            <w:vAlign w:val="center"/>
          </w:tcPr>
          <w:p>
            <w:pPr>
              <w:spacing w:after="0"/>
            </w:pPr>
            <w:r>
              <w:rPr>
                <w:rFonts w:ascii="Noto Sans CJK JP" w:hAnsi="Noto Sans CJK JP" w:eastAsia="Noto Sans CJK JP"/>
                <w:b/>
                <w:color w:val="FFFFFF"/>
                <w:sz w:val="16"/>
              </w:rPr>
              <w:t>内容</w:t>
            </w:r>
          </w:p>
        </w:tc>
      </w:tr>
      <w:tr>
        <w:trPr>
          <w:cantSplit/>
        </w:trPr>
        <w:tc>
          <w:tcPr>
            <w:tcW w:type="dxa" w:w="3969"/>
            <w:vAlign w:val="top"/>
            <w:shd w:fill="EAF2F8"/>
          </w:tcPr>
          <w:p>
            <w:pPr>
              <w:spacing w:after="0"/>
            </w:pPr>
            <w:r>
              <w:rPr>
                <w:rFonts w:ascii="Noto Sans CJK JP" w:hAnsi="Noto Sans CJK JP" w:eastAsia="Noto Sans CJK JP"/>
                <w:b w:val="0"/>
                <w:color w:val="1F2933"/>
                <w:sz w:val="16"/>
              </w:rPr>
              <w:t>tier_classification_second_reviewer.xlsx</w:t>
            </w:r>
          </w:p>
        </w:tc>
        <w:tc>
          <w:tcPr>
            <w:tcW w:type="dxa" w:w="5102"/>
            <w:vAlign w:val="top"/>
          </w:tcPr>
          <w:p>
            <w:pPr>
              <w:spacing w:after="0"/>
            </w:pPr>
            <w:r>
              <w:rPr>
                <w:rFonts w:ascii="Noto Sans CJK JP" w:hAnsi="Noto Sans CJK JP" w:eastAsia="Noto Sans CJK JP"/>
                <w:b w:val="0"/>
                <w:color w:val="1F2933"/>
                <w:sz w:val="16"/>
              </w:rPr>
              <w:t>一致度、混同行列、47ブロック、120不一致、全5,200割当、公開影響を収録。</w:t>
            </w:r>
          </w:p>
        </w:tc>
      </w:tr>
      <w:tr>
        <w:trPr>
          <w:cantSplit/>
        </w:trPr>
        <w:tc>
          <w:tcPr>
            <w:tcW w:type="dxa" w:w="3969"/>
            <w:vAlign w:val="top"/>
            <w:shd w:fill="EAF2F8"/>
          </w:tcPr>
          <w:p>
            <w:pPr>
              <w:spacing w:after="0"/>
            </w:pPr>
            <w:r>
              <w:rPr>
                <w:rFonts w:ascii="Noto Sans CJK JP" w:hAnsi="Noto Sans CJK JP" w:eastAsia="Noto Sans CJK JP"/>
                <w:b w:val="0"/>
                <w:color w:val="1F2933"/>
                <w:sz w:val="16"/>
              </w:rPr>
              <w:t>reviewer2_blinded_input.csv</w:t>
            </w:r>
          </w:p>
        </w:tc>
        <w:tc>
          <w:tcPr>
            <w:tcW w:type="dxa" w:w="5102"/>
            <w:vAlign w:val="top"/>
          </w:tcPr>
          <w:p>
            <w:pPr>
              <w:spacing w:after="0"/>
            </w:pPr>
            <w:r>
              <w:rPr>
                <w:rFonts w:ascii="Noto Sans CJK JP" w:hAnsi="Noto Sans CJK JP" w:eastAsia="Noto Sans CJK JP"/>
                <w:b w:val="0"/>
                <w:color w:val="1F2933"/>
                <w:sz w:val="16"/>
              </w:rPr>
              <w:t>初回Tier・curation列を除外した第二評価者入力。</w:t>
            </w:r>
          </w:p>
        </w:tc>
      </w:tr>
      <w:tr>
        <w:trPr>
          <w:cantSplit/>
        </w:trPr>
        <w:tc>
          <w:tcPr>
            <w:tcW w:type="dxa" w:w="3969"/>
            <w:vAlign w:val="top"/>
            <w:shd w:fill="EAF2F8"/>
          </w:tcPr>
          <w:p>
            <w:pPr>
              <w:spacing w:after="0"/>
            </w:pPr>
            <w:r>
              <w:rPr>
                <w:rFonts w:ascii="Noto Sans CJK JP" w:hAnsi="Noto Sans CJK JP" w:eastAsia="Noto Sans CJK JP"/>
                <w:b w:val="0"/>
                <w:color w:val="1F2933"/>
                <w:sz w:val="16"/>
              </w:rPr>
              <w:t>reviewer2_assignments.csv</w:t>
            </w:r>
          </w:p>
        </w:tc>
        <w:tc>
          <w:tcPr>
            <w:tcW w:type="dxa" w:w="5102"/>
            <w:vAlign w:val="top"/>
          </w:tcPr>
          <w:p>
            <w:pPr>
              <w:spacing w:after="0"/>
            </w:pPr>
            <w:r>
              <w:rPr>
                <w:rFonts w:ascii="Noto Sans CJK JP" w:hAnsi="Noto Sans CJK JP" w:eastAsia="Noto Sans CJK JP"/>
                <w:b w:val="0"/>
                <w:color w:val="1F2933"/>
                <w:sz w:val="16"/>
              </w:rPr>
              <w:t>全5,200特徴量の第二評価Tierと理由。</w:t>
            </w:r>
          </w:p>
        </w:tc>
      </w:tr>
      <w:tr>
        <w:trPr>
          <w:cantSplit/>
        </w:trPr>
        <w:tc>
          <w:tcPr>
            <w:tcW w:type="dxa" w:w="3969"/>
            <w:vAlign w:val="top"/>
            <w:shd w:fill="EAF2F8"/>
          </w:tcPr>
          <w:p>
            <w:pPr>
              <w:spacing w:after="0"/>
            </w:pPr>
            <w:r>
              <w:rPr>
                <w:rFonts w:ascii="Noto Sans CJK JP" w:hAnsi="Noto Sans CJK JP" w:eastAsia="Noto Sans CJK JP"/>
                <w:b w:val="0"/>
                <w:color w:val="1F2933"/>
                <w:sz w:val="16"/>
              </w:rPr>
              <w:t>interpretability_adjudication.csv</w:t>
            </w:r>
          </w:p>
        </w:tc>
        <w:tc>
          <w:tcPr>
            <w:tcW w:type="dxa" w:w="5102"/>
            <w:vAlign w:val="top"/>
          </w:tcPr>
          <w:p>
            <w:pPr>
              <w:spacing w:after="0"/>
            </w:pPr>
            <w:r>
              <w:rPr>
                <w:rFonts w:ascii="Noto Sans CJK JP" w:hAnsi="Noto Sans CJK JP" w:eastAsia="Noto Sans CJK JP"/>
                <w:b w:val="0"/>
                <w:color w:val="1F2933"/>
                <w:sz w:val="16"/>
              </w:rPr>
              <w:t>不一致120件の裁定表。</w:t>
            </w:r>
          </w:p>
        </w:tc>
      </w:tr>
      <w:tr>
        <w:trPr>
          <w:cantSplit/>
        </w:trPr>
        <w:tc>
          <w:tcPr>
            <w:tcW w:type="dxa" w:w="3969"/>
            <w:vAlign w:val="top"/>
            <w:shd w:fill="EAF2F8"/>
          </w:tcPr>
          <w:p>
            <w:pPr>
              <w:spacing w:after="0"/>
            </w:pPr>
            <w:r>
              <w:rPr>
                <w:rFonts w:ascii="Noto Sans CJK JP" w:hAnsi="Noto Sans CJK JP" w:eastAsia="Noto Sans CJK JP"/>
                <w:b w:val="0"/>
                <w:color w:val="1F2933"/>
                <w:sz w:val="16"/>
              </w:rPr>
              <w:t>element_feature_metadata_adjudication_overlay.csv</w:t>
            </w:r>
          </w:p>
        </w:tc>
        <w:tc>
          <w:tcPr>
            <w:tcW w:type="dxa" w:w="5102"/>
            <w:vAlign w:val="top"/>
          </w:tcPr>
          <w:p>
            <w:pPr>
              <w:spacing w:after="0"/>
            </w:pPr>
            <w:r>
              <w:rPr>
                <w:rFonts w:ascii="Noto Sans CJK JP" w:hAnsi="Noto Sans CJK JP" w:eastAsia="Noto Sans CJK JP"/>
                <w:b w:val="0"/>
                <w:color w:val="1F2933"/>
                <w:sz w:val="16"/>
              </w:rPr>
              <w:t>初回・第二評価・裁定Tierを結合した全特徴量overlay。</w:t>
            </w:r>
          </w:p>
        </w:tc>
      </w:tr>
      <w:tr>
        <w:trPr>
          <w:cantSplit/>
        </w:trPr>
        <w:tc>
          <w:tcPr>
            <w:tcW w:type="dxa" w:w="3969"/>
            <w:vAlign w:val="top"/>
            <w:shd w:fill="EAF2F8"/>
          </w:tcPr>
          <w:p>
            <w:pPr>
              <w:spacing w:after="0"/>
            </w:pPr>
            <w:r>
              <w:rPr>
                <w:rFonts w:ascii="Noto Sans CJK JP" w:hAnsi="Noto Sans CJK JP" w:eastAsia="Noto Sans CJK JP"/>
                <w:b w:val="0"/>
                <w:color w:val="1F2933"/>
                <w:sz w:val="16"/>
              </w:rPr>
              <w:t>public_matrix_partition_patch.csv</w:t>
            </w:r>
          </w:p>
        </w:tc>
        <w:tc>
          <w:tcPr>
            <w:tcW w:type="dxa" w:w="5102"/>
            <w:vAlign w:val="top"/>
          </w:tcPr>
          <w:p>
            <w:pPr>
              <w:spacing w:after="0"/>
            </w:pPr>
            <w:r>
              <w:rPr>
                <w:rFonts w:ascii="Noto Sans CJK JP" w:hAnsi="Noto Sans CJK JP" w:eastAsia="Noto Sans CJK JP"/>
                <w:b w:val="0"/>
                <w:color w:val="1F2933"/>
                <w:sz w:val="16"/>
              </w:rPr>
              <w:t>公開CSV間で移動を推奨する3特徴量。</w:t>
            </w:r>
          </w:p>
        </w:tc>
      </w:tr>
      <w:tr>
        <w:trPr>
          <w:cantSplit/>
        </w:trPr>
        <w:tc>
          <w:tcPr>
            <w:tcW w:type="dxa" w:w="3969"/>
            <w:vAlign w:val="top"/>
            <w:shd w:fill="EAF2F8"/>
          </w:tcPr>
          <w:p>
            <w:pPr>
              <w:spacing w:after="0"/>
            </w:pPr>
            <w:r>
              <w:rPr>
                <w:rFonts w:ascii="Noto Sans CJK JP" w:hAnsi="Noto Sans CJK JP" w:eastAsia="Noto Sans CJK JP"/>
                <w:b w:val="0"/>
                <w:color w:val="1F2933"/>
                <w:sz w:val="16"/>
              </w:rPr>
              <w:t>adjudicated_preview/*.csv</w:t>
            </w:r>
          </w:p>
        </w:tc>
        <w:tc>
          <w:tcPr>
            <w:tcW w:type="dxa" w:w="5102"/>
            <w:vAlign w:val="top"/>
          </w:tcPr>
          <w:p>
            <w:pPr>
              <w:spacing w:after="0"/>
            </w:pPr>
            <w:r>
              <w:rPr>
                <w:rFonts w:ascii="Noto Sans CJK JP" w:hAnsi="Noto Sans CJK JP" w:eastAsia="Noto Sans CJK JP"/>
                <w:b w:val="0"/>
                <w:color w:val="1F2933"/>
                <w:sz w:val="16"/>
              </w:rPr>
              <w:t>3列を移動した公開CSVプレビュー。</w:t>
            </w:r>
          </w:p>
        </w:tc>
      </w:tr>
      <w:tr>
        <w:trPr>
          <w:cantSplit/>
        </w:trPr>
        <w:tc>
          <w:tcPr>
            <w:tcW w:type="dxa" w:w="3969"/>
            <w:vAlign w:val="top"/>
            <w:shd w:fill="EAF2F8"/>
          </w:tcPr>
          <w:p>
            <w:pPr>
              <w:spacing w:after="0"/>
            </w:pPr>
            <w:r>
              <w:rPr>
                <w:rFonts w:ascii="Noto Sans CJK JP" w:hAnsi="Noto Sans CJK JP" w:eastAsia="Noto Sans CJK JP"/>
                <w:b w:val="0"/>
                <w:color w:val="1F2933"/>
                <w:sz w:val="16"/>
              </w:rPr>
              <w:t>technical_validation_results_TV036_updated.csv</w:t>
            </w:r>
          </w:p>
        </w:tc>
        <w:tc>
          <w:tcPr>
            <w:tcW w:type="dxa" w:w="5102"/>
            <w:vAlign w:val="top"/>
          </w:tcPr>
          <w:p>
            <w:pPr>
              <w:spacing w:after="0"/>
            </w:pPr>
            <w:r>
              <w:rPr>
                <w:rFonts w:ascii="Noto Sans CJK JP" w:hAnsi="Noto Sans CJK JP" w:eastAsia="Noto Sans CJK JP"/>
                <w:b w:val="0"/>
                <w:color w:val="1F2933"/>
                <w:sz w:val="16"/>
              </w:rPr>
              <w:t>TV-036をPASS WITH NOTEへ更新した検証表案。</w:t>
            </w:r>
          </w:p>
        </w:tc>
      </w:tr>
      <w:tr>
        <w:trPr>
          <w:cantSplit/>
        </w:trPr>
        <w:tc>
          <w:tcPr>
            <w:tcW w:type="dxa" w:w="3969"/>
            <w:vAlign w:val="top"/>
            <w:shd w:fill="EAF2F8"/>
          </w:tcPr>
          <w:p>
            <w:pPr>
              <w:spacing w:after="0"/>
            </w:pPr>
            <w:r>
              <w:rPr>
                <w:rFonts w:ascii="Noto Sans CJK JP" w:hAnsi="Noto Sans CJK JP" w:eastAsia="Noto Sans CJK JP"/>
                <w:b w:val="0"/>
                <w:color w:val="1F2933"/>
                <w:sz w:val="16"/>
              </w:rPr>
              <w:t>manuscript_Tier_review_text_ja.md</w:t>
            </w:r>
          </w:p>
        </w:tc>
        <w:tc>
          <w:tcPr>
            <w:tcW w:type="dxa" w:w="5102"/>
            <w:vAlign w:val="top"/>
          </w:tcPr>
          <w:p>
            <w:pPr>
              <w:spacing w:after="0"/>
            </w:pPr>
            <w:r>
              <w:rPr>
                <w:rFonts w:ascii="Noto Sans CJK JP" w:hAnsi="Noto Sans CJK JP" w:eastAsia="Noto Sans CJK JP"/>
                <w:b w:val="0"/>
                <w:color w:val="1F2933"/>
                <w:sz w:val="16"/>
              </w:rPr>
              <w:t>論文方法節・Technical Validationへの追記案。</w:t>
            </w:r>
          </w:p>
        </w:tc>
      </w:tr>
    </w:tbl>
    <w:p>
      <w:pPr>
        <w:pStyle w:val="Heading1"/>
      </w:pPr>
      <w:r>
        <w:t>11. 制約</w:t>
      </w:r>
    </w:p>
    <w:p>
      <w:r>
        <w:t>このレビューは、データセットの操作的分類整合性を検証するAI支援型監査であり、査読者、法的評価者、または独立した人間専門家の判断を代替しない。とくに、電気陰性度のような経験的でありながら標準化された化学尺度や、計算由来であるが出典表では直接列として提供される量については、Tier定義の目的に応じて別の妥当な分類もあり得る。本裁定では、データセット内での生成経路、条件依存性、再計算可能性を優先した。</w:t>
      </w:r>
    </w:p>
    <w:sectPr w:rsidR="00FC693F" w:rsidRPr="0006063C" w:rsidSect="00034616">
      <w:headerReference w:type="default" r:id="rId9"/>
      <w:footerReference w:type="default" r:id="rId10"/>
      <w:pgSz w:w="12240" w:h="15840"/>
      <w:pgMar w:top="964"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64748B"/>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4748B"/>
        <w:sz w:val="15"/>
      </w:rPr>
      <w:t>Tier分類・第二評価者レビュー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B7F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JP" w:hAnsi="Noto Sans CJK JP" w:eastAsia="Noto Sans CJK JP"/>
      <w:color w:val="5261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