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i w:val="0"/>
        </w:rPr>
        <w:t>Supplementary Methods S1</w:t>
      </w:r>
    </w:p>
    <w:p>
      <w:pPr>
        <w:widowControl/>
      </w:pPr>
      <w:r>
        <w:rPr>
          <w:i w:val="0"/>
        </w:rPr>
        <w:t>A provenance-aware, interpretability-stratified elemental feature bank for materials informatics</w:t>
      </w:r>
    </w:p>
    <w:p>
      <w:pPr>
        <w:widowControl/>
      </w:pPr>
      <w:r>
        <w:rPr>
          <w:i w:val="0"/>
        </w:rPr>
        <w:t>Hiromasa Kaneko | Chemical Data Collections | Revision of 10 October 2026</w:t>
      </w:r>
    </w:p>
    <w:p>
      <w:pPr>
        <w:pStyle w:val="Heading1"/>
        <w:widowControl/>
      </w:pPr>
      <w:r>
        <w:rPr>
          <w:i w:val="0"/>
        </w:rPr>
        <w:t>S1. Scope and relation to the archived release</w:t>
      </w:r>
    </w:p>
    <w:p>
      <w:pPr>
        <w:widowControl/>
      </w:pPr>
      <w:r>
        <w:rPr>
          <w:i w:val="0"/>
        </w:rPr>
        <w:t>This supplement accompanies the revised Data Article. It supplies the Fig. 2 group key, deterministic reconstruction of the recorded Tier audit, calculation of label-agreement statistics, a small composition-descriptor example, and a reporting/access addendum. It does not replace the v1.0.1 public matrices, which remain 118 x 822 and 118 x 944. All 3,434 licence-excluded variables appear only as definitions or labels; their numerical values are not added to this revision package.</w:t>
      </w:r>
    </w:p>
    <w:p>
      <w:pPr>
        <w:widowControl/>
      </w:pPr>
      <w:r>
        <w:rPr>
          <w:i w:val="0"/>
        </w:rPr>
        <w:t>Supplementary Code and Data S1 is an executable ZIP with frozen inputs and expected outputs. Supplementary Data S2 is the unchanged elemental-feature-bank-v1.0.1-data.zip. This arrangement provides reviewers with an offline data copy if the external repository is temporarily inaccessible. New supplementary files have not been represented as already included in the historical Zenodo archive.</w:t>
      </w:r>
    </w:p>
    <w:p>
      <w:pPr>
        <w:pStyle w:val="Heading1"/>
        <w:widowControl/>
      </w:pPr>
      <w:r>
        <w:rPr>
          <w:i w:val="0"/>
        </w:rPr>
        <w:t>S2. Complete element coverage in Fig. 2</w:t>
      </w:r>
    </w:p>
    <w:p>
      <w:pPr>
        <w:widowControl/>
      </w:pPr>
      <w:r>
        <w:rPr>
          <w:i w:val="0"/>
        </w:rPr>
        <w:t>Each of the 118 symbols has a plotted column and an explicit tick label. Panels are consecutive: (a) H-Zr, Z=1-40; (b) Nb-Hg, Z=41-80; (c) Tl-Og, Z=81-118. For group g and element e, coverage is the number of nonblank feature values divided by the number of columns assigned to g. A zero is absence of reported values in the group; it is not a zero-valued material property. Table S1 maps the short row identifiers to the original feature-block/Tier grouping. The CSV output coverage_all_elements.csv retains the exact numerical plotting matrix.</w:t>
      </w:r>
    </w:p>
    <w:p>
      <w:pPr>
        <w:pStyle w:val="Heading2"/>
        <w:widowControl/>
      </w:pPr>
      <w:r>
        <w:rPr>
          <w:i w:val="0"/>
        </w:rPr>
        <w:t>Table S1. Feature-block/Tier group key used in every panel of Fig. 2. Identifiers are in the plotting order.</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1020"/>
        <w:gridCol w:w="680"/>
        <w:gridCol w:w="6917"/>
        <w:gridCol w:w="1304"/>
      </w:tblGrid>
      <w:tr>
        <w:trPr>
          <w:cantSplit/>
          <w:tblHeader/>
        </w:trPr>
        <w:tc>
          <w:tcPr>
            <w:tcW w:type="dxa" w:w="1020"/>
            <w:vAlign w:val="top"/>
            <w:shd w:fill="E8EFF5"/>
          </w:tcPr>
          <w:p>
            <w:pPr>
              <w:spacing w:before="60" w:after="60"/>
            </w:pPr>
            <w:r>
              <w:rPr>
                <w:rFonts w:ascii="Arial" w:hAnsi="Arial"/>
                <w:b/>
                <w:sz w:val="19"/>
              </w:rPr>
              <w:t>Group</w:t>
            </w:r>
          </w:p>
        </w:tc>
        <w:tc>
          <w:tcPr>
            <w:tcW w:type="dxa" w:w="680"/>
            <w:vAlign w:val="top"/>
            <w:shd w:fill="E8EFF5"/>
          </w:tcPr>
          <w:p>
            <w:pPr>
              <w:spacing w:before="60" w:after="60"/>
            </w:pPr>
            <w:r>
              <w:rPr>
                <w:rFonts w:ascii="Arial" w:hAnsi="Arial"/>
                <w:b/>
                <w:sz w:val="19"/>
              </w:rPr>
              <w:t>Tier</w:t>
            </w:r>
          </w:p>
        </w:tc>
        <w:tc>
          <w:tcPr>
            <w:tcW w:type="dxa" w:w="6917"/>
            <w:vAlign w:val="top"/>
            <w:shd w:fill="E8EFF5"/>
          </w:tcPr>
          <w:p>
            <w:pPr>
              <w:spacing w:before="60" w:after="60"/>
            </w:pPr>
            <w:r>
              <w:rPr>
                <w:rFonts w:ascii="Arial" w:hAnsi="Arial"/>
                <w:b/>
                <w:sz w:val="19"/>
              </w:rPr>
              <w:t>Feature block</w:t>
            </w:r>
          </w:p>
        </w:tc>
        <w:tc>
          <w:tcPr>
            <w:tcW w:type="dxa" w:w="1304"/>
            <w:vAlign w:val="top"/>
            <w:shd w:fill="E8EFF5"/>
          </w:tcPr>
          <w:p>
            <w:pPr>
              <w:spacing w:before="60" w:after="60"/>
            </w:pPr>
            <w:r>
              <w:rPr>
                <w:rFonts w:ascii="Arial" w:hAnsi="Arial"/>
                <w:b/>
                <w:sz w:val="19"/>
              </w:rPr>
              <w:t>Columns</w:t>
            </w:r>
          </w:p>
        </w:tc>
      </w:tr>
      <w:tr>
        <w:trPr>
          <w:cantSplit/>
        </w:trPr>
        <w:tc>
          <w:tcPr>
            <w:tcW w:type="dxa" w:w="1020"/>
            <w:vAlign w:val="top"/>
          </w:tcPr>
          <w:p>
            <w:pPr>
              <w:spacing w:before="60" w:after="60"/>
            </w:pPr>
            <w:r>
              <w:rPr>
                <w:rFonts w:ascii="Arial" w:hAnsi="Arial"/>
                <w:b w:val="0"/>
                <w:sz w:val="19"/>
              </w:rPr>
              <w:t>G01</w:t>
            </w:r>
          </w:p>
        </w:tc>
        <w:tc>
          <w:tcPr>
            <w:tcW w:type="dxa" w:w="680"/>
            <w:vAlign w:val="top"/>
          </w:tcPr>
          <w:p>
            <w:pPr>
              <w:spacing w:before="60" w:after="60"/>
            </w:pPr>
            <w:r>
              <w:rPr>
                <w:rFonts w:ascii="Arial" w:hAnsi="Arial"/>
                <w:b w:val="0"/>
                <w:sz w:val="19"/>
              </w:rPr>
              <w:t>A</w:t>
            </w:r>
          </w:p>
        </w:tc>
        <w:tc>
          <w:tcPr>
            <w:tcW w:type="dxa" w:w="6917"/>
            <w:vAlign w:val="top"/>
          </w:tcPr>
          <w:p>
            <w:pPr>
              <w:spacing w:before="60" w:after="60"/>
            </w:pPr>
            <w:r>
              <w:rPr>
                <w:rFonts w:ascii="Arial" w:hAnsi="Arial"/>
                <w:b w:val="0"/>
                <w:sz w:val="19"/>
              </w:rPr>
              <w:t>ciaaw_standard_atomic_weights_2024</w:t>
            </w:r>
          </w:p>
        </w:tc>
        <w:tc>
          <w:tcPr>
            <w:tcW w:type="dxa" w:w="1304"/>
            <w:vAlign w:val="top"/>
          </w:tcPr>
          <w:p>
            <w:pPr>
              <w:spacing w:before="60" w:after="60"/>
            </w:pPr>
            <w:r>
              <w:rPr>
                <w:rFonts w:ascii="Arial" w:hAnsi="Arial"/>
                <w:b w:val="0"/>
                <w:sz w:val="19"/>
              </w:rPr>
              <w:t>5</w:t>
            </w:r>
          </w:p>
        </w:tc>
      </w:tr>
      <w:tr>
        <w:trPr>
          <w:cantSplit/>
        </w:trPr>
        <w:tc>
          <w:tcPr>
            <w:tcW w:type="dxa" w:w="1020"/>
            <w:vAlign w:val="top"/>
          </w:tcPr>
          <w:p>
            <w:pPr>
              <w:spacing w:before="60" w:after="60"/>
            </w:pPr>
            <w:r>
              <w:rPr>
                <w:rFonts w:ascii="Arial" w:hAnsi="Arial"/>
                <w:b w:val="0"/>
                <w:sz w:val="19"/>
              </w:rPr>
              <w:t>G02</w:t>
            </w:r>
          </w:p>
        </w:tc>
        <w:tc>
          <w:tcPr>
            <w:tcW w:type="dxa" w:w="680"/>
            <w:vAlign w:val="top"/>
          </w:tcPr>
          <w:p>
            <w:pPr>
              <w:spacing w:before="60" w:after="60"/>
            </w:pPr>
            <w:r>
              <w:rPr>
                <w:rFonts w:ascii="Arial" w:hAnsi="Arial"/>
                <w:b w:val="0"/>
                <w:sz w:val="19"/>
              </w:rPr>
              <w:t>A</w:t>
            </w:r>
          </w:p>
        </w:tc>
        <w:tc>
          <w:tcPr>
            <w:tcW w:type="dxa" w:w="6917"/>
            <w:vAlign w:val="top"/>
          </w:tcPr>
          <w:p>
            <w:pPr>
              <w:spacing w:before="60" w:after="60"/>
            </w:pPr>
            <w:r>
              <w:rPr>
                <w:rFonts w:ascii="Arial" w:hAnsi="Arial"/>
                <w:b w:val="0"/>
                <w:sz w:val="19"/>
              </w:rPr>
              <w:t>mendeleev_element</w:t>
            </w:r>
          </w:p>
        </w:tc>
        <w:tc>
          <w:tcPr>
            <w:tcW w:type="dxa" w:w="1304"/>
            <w:vAlign w:val="top"/>
          </w:tcPr>
          <w:p>
            <w:pPr>
              <w:spacing w:before="60" w:after="60"/>
            </w:pPr>
            <w:r>
              <w:rPr>
                <w:rFonts w:ascii="Arial" w:hAnsi="Arial"/>
                <w:b w:val="0"/>
                <w:sz w:val="19"/>
              </w:rPr>
              <w:t>60</w:t>
            </w:r>
          </w:p>
        </w:tc>
      </w:tr>
      <w:tr>
        <w:trPr>
          <w:cantSplit/>
        </w:trPr>
        <w:tc>
          <w:tcPr>
            <w:tcW w:type="dxa" w:w="1020"/>
            <w:vAlign w:val="top"/>
          </w:tcPr>
          <w:p>
            <w:pPr>
              <w:spacing w:before="60" w:after="60"/>
            </w:pPr>
            <w:r>
              <w:rPr>
                <w:rFonts w:ascii="Arial" w:hAnsi="Arial"/>
                <w:b w:val="0"/>
                <w:sz w:val="19"/>
              </w:rPr>
              <w:t>G03</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mendeleev_ionization</w:t>
            </w:r>
          </w:p>
        </w:tc>
        <w:tc>
          <w:tcPr>
            <w:tcW w:type="dxa" w:w="1304"/>
            <w:vAlign w:val="top"/>
          </w:tcPr>
          <w:p>
            <w:pPr>
              <w:spacing w:before="60" w:after="60"/>
            </w:pPr>
            <w:r>
              <w:rPr>
                <w:rFonts w:ascii="Arial" w:hAnsi="Arial"/>
                <w:b w:val="0"/>
                <w:sz w:val="19"/>
              </w:rPr>
              <w:t>50</w:t>
            </w:r>
          </w:p>
        </w:tc>
      </w:tr>
      <w:tr>
        <w:trPr>
          <w:cantSplit/>
        </w:trPr>
        <w:tc>
          <w:tcPr>
            <w:tcW w:type="dxa" w:w="1020"/>
            <w:vAlign w:val="top"/>
          </w:tcPr>
          <w:p>
            <w:pPr>
              <w:spacing w:before="60" w:after="60"/>
            </w:pPr>
            <w:r>
              <w:rPr>
                <w:rFonts w:ascii="Arial" w:hAnsi="Arial"/>
                <w:b w:val="0"/>
                <w:sz w:val="19"/>
              </w:rPr>
              <w:t>G04</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mendeleev_ionization_state</w:t>
            </w:r>
          </w:p>
        </w:tc>
        <w:tc>
          <w:tcPr>
            <w:tcW w:type="dxa" w:w="1304"/>
            <w:vAlign w:val="top"/>
          </w:tcPr>
          <w:p>
            <w:pPr>
              <w:spacing w:before="60" w:after="60"/>
            </w:pPr>
            <w:r>
              <w:rPr>
                <w:rFonts w:ascii="Arial" w:hAnsi="Arial"/>
                <w:b w:val="0"/>
                <w:sz w:val="19"/>
              </w:rPr>
              <w:t>99</w:t>
            </w:r>
          </w:p>
        </w:tc>
      </w:tr>
      <w:tr>
        <w:trPr>
          <w:cantSplit/>
        </w:trPr>
        <w:tc>
          <w:tcPr>
            <w:tcW w:type="dxa" w:w="1020"/>
            <w:vAlign w:val="top"/>
          </w:tcPr>
          <w:p>
            <w:pPr>
              <w:spacing w:before="60" w:after="60"/>
            </w:pPr>
            <w:r>
              <w:rPr>
                <w:rFonts w:ascii="Arial" w:hAnsi="Arial"/>
                <w:b w:val="0"/>
                <w:sz w:val="19"/>
              </w:rPr>
              <w:t>G05</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mendeleev_ionization_uncertainty</w:t>
            </w:r>
          </w:p>
        </w:tc>
        <w:tc>
          <w:tcPr>
            <w:tcW w:type="dxa" w:w="1304"/>
            <w:vAlign w:val="top"/>
          </w:tcPr>
          <w:p>
            <w:pPr>
              <w:spacing w:before="60" w:after="60"/>
            </w:pPr>
            <w:r>
              <w:rPr>
                <w:rFonts w:ascii="Arial" w:hAnsi="Arial"/>
                <w:b w:val="0"/>
                <w:sz w:val="19"/>
              </w:rPr>
              <w:t>30</w:t>
            </w:r>
          </w:p>
        </w:tc>
      </w:tr>
      <w:tr>
        <w:trPr>
          <w:cantSplit/>
        </w:trPr>
        <w:tc>
          <w:tcPr>
            <w:tcW w:type="dxa" w:w="1020"/>
            <w:vAlign w:val="top"/>
          </w:tcPr>
          <w:p>
            <w:pPr>
              <w:spacing w:before="60" w:after="60"/>
            </w:pPr>
            <w:r>
              <w:rPr>
                <w:rFonts w:ascii="Arial" w:hAnsi="Arial"/>
                <w:b w:val="0"/>
                <w:sz w:val="19"/>
              </w:rPr>
              <w:t>G06</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mendeleev_scattering_factors</w:t>
            </w:r>
          </w:p>
        </w:tc>
        <w:tc>
          <w:tcPr>
            <w:tcW w:type="dxa" w:w="1304"/>
            <w:vAlign w:val="top"/>
          </w:tcPr>
          <w:p>
            <w:pPr>
              <w:spacing w:before="60" w:after="60"/>
            </w:pPr>
            <w:r>
              <w:rPr>
                <w:rFonts w:ascii="Arial" w:hAnsi="Arial"/>
                <w:b w:val="0"/>
                <w:sz w:val="19"/>
              </w:rPr>
              <w:t>20</w:t>
            </w:r>
          </w:p>
        </w:tc>
      </w:tr>
      <w:tr>
        <w:trPr>
          <w:cantSplit/>
        </w:trPr>
        <w:tc>
          <w:tcPr>
            <w:tcW w:type="dxa" w:w="1020"/>
            <w:vAlign w:val="top"/>
          </w:tcPr>
          <w:p>
            <w:pPr>
              <w:spacing w:before="60" w:after="60"/>
            </w:pPr>
            <w:r>
              <w:rPr>
                <w:rFonts w:ascii="Arial" w:hAnsi="Arial"/>
                <w:b w:val="0"/>
                <w:sz w:val="19"/>
              </w:rPr>
              <w:t>G07</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mendeleev_screening</w:t>
            </w:r>
          </w:p>
        </w:tc>
        <w:tc>
          <w:tcPr>
            <w:tcW w:type="dxa" w:w="1304"/>
            <w:vAlign w:val="top"/>
          </w:tcPr>
          <w:p>
            <w:pPr>
              <w:spacing w:before="60" w:after="60"/>
            </w:pPr>
            <w:r>
              <w:rPr>
                <w:rFonts w:ascii="Arial" w:hAnsi="Arial"/>
                <w:b w:val="0"/>
                <w:sz w:val="19"/>
              </w:rPr>
              <w:t>15</w:t>
            </w:r>
          </w:p>
        </w:tc>
      </w:tr>
      <w:tr>
        <w:trPr>
          <w:cantSplit/>
        </w:trPr>
        <w:tc>
          <w:tcPr>
            <w:tcW w:type="dxa" w:w="1020"/>
            <w:vAlign w:val="top"/>
          </w:tcPr>
          <w:p>
            <w:pPr>
              <w:spacing w:before="60" w:after="60"/>
            </w:pPr>
            <w:r>
              <w:rPr>
                <w:rFonts w:ascii="Arial" w:hAnsi="Arial"/>
                <w:b w:val="0"/>
                <w:sz w:val="19"/>
              </w:rPr>
              <w:t>G08</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nist_atomic_orbital_lda</w:t>
            </w:r>
          </w:p>
        </w:tc>
        <w:tc>
          <w:tcPr>
            <w:tcW w:type="dxa" w:w="1304"/>
            <w:vAlign w:val="top"/>
          </w:tcPr>
          <w:p>
            <w:pPr>
              <w:spacing w:before="60" w:after="60"/>
            </w:pPr>
            <w:r>
              <w:rPr>
                <w:rFonts w:ascii="Arial" w:hAnsi="Arial"/>
                <w:b w:val="0"/>
                <w:sz w:val="19"/>
              </w:rPr>
              <w:t>18</w:t>
            </w:r>
          </w:p>
        </w:tc>
      </w:tr>
      <w:tr>
        <w:trPr>
          <w:cantSplit/>
        </w:trPr>
        <w:tc>
          <w:tcPr>
            <w:tcW w:type="dxa" w:w="1020"/>
            <w:vAlign w:val="top"/>
          </w:tcPr>
          <w:p>
            <w:pPr>
              <w:spacing w:before="60" w:after="60"/>
            </w:pPr>
            <w:r>
              <w:rPr>
                <w:rFonts w:ascii="Arial" w:hAnsi="Arial"/>
                <w:b w:val="0"/>
                <w:sz w:val="19"/>
              </w:rPr>
              <w:t>G09</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nist_neutron_natural_element</w:t>
            </w:r>
          </w:p>
        </w:tc>
        <w:tc>
          <w:tcPr>
            <w:tcW w:type="dxa" w:w="1304"/>
            <w:vAlign w:val="top"/>
          </w:tcPr>
          <w:p>
            <w:pPr>
              <w:spacing w:before="60" w:after="60"/>
            </w:pPr>
            <w:r>
              <w:rPr>
                <w:rFonts w:ascii="Arial" w:hAnsi="Arial"/>
                <w:b w:val="0"/>
                <w:sz w:val="19"/>
              </w:rPr>
              <w:t>6</w:t>
            </w:r>
          </w:p>
        </w:tc>
      </w:tr>
      <w:tr>
        <w:trPr>
          <w:cantSplit/>
        </w:trPr>
        <w:tc>
          <w:tcPr>
            <w:tcW w:type="dxa" w:w="1020"/>
            <w:vAlign w:val="top"/>
          </w:tcPr>
          <w:p>
            <w:pPr>
              <w:spacing w:before="60" w:after="60"/>
            </w:pPr>
            <w:r>
              <w:rPr>
                <w:rFonts w:ascii="Arial" w:hAnsi="Arial"/>
                <w:b w:val="0"/>
                <w:sz w:val="19"/>
              </w:rPr>
              <w:t>G10</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xraydb_absorption_edges</w:t>
            </w:r>
          </w:p>
        </w:tc>
        <w:tc>
          <w:tcPr>
            <w:tcW w:type="dxa" w:w="1304"/>
            <w:vAlign w:val="top"/>
          </w:tcPr>
          <w:p>
            <w:pPr>
              <w:spacing w:before="60" w:after="60"/>
            </w:pPr>
            <w:r>
              <w:rPr>
                <w:rFonts w:ascii="Arial" w:hAnsi="Arial"/>
                <w:b w:val="0"/>
                <w:sz w:val="19"/>
              </w:rPr>
              <w:t>64</w:t>
            </w:r>
          </w:p>
        </w:tc>
      </w:tr>
      <w:tr>
        <w:trPr>
          <w:cantSplit/>
        </w:trPr>
        <w:tc>
          <w:tcPr>
            <w:tcW w:type="dxa" w:w="1020"/>
            <w:vAlign w:val="top"/>
          </w:tcPr>
          <w:p>
            <w:pPr>
              <w:spacing w:before="60" w:after="60"/>
            </w:pPr>
            <w:r>
              <w:rPr>
                <w:rFonts w:ascii="Arial" w:hAnsi="Arial"/>
                <w:b w:val="0"/>
                <w:sz w:val="19"/>
              </w:rPr>
              <w:t>G11</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xraydb_emission_lines</w:t>
            </w:r>
          </w:p>
        </w:tc>
        <w:tc>
          <w:tcPr>
            <w:tcW w:type="dxa" w:w="1304"/>
            <w:vAlign w:val="top"/>
          </w:tcPr>
          <w:p>
            <w:pPr>
              <w:spacing w:before="60" w:after="60"/>
            </w:pPr>
            <w:r>
              <w:rPr>
                <w:rFonts w:ascii="Arial" w:hAnsi="Arial"/>
                <w:b w:val="0"/>
                <w:sz w:val="19"/>
              </w:rPr>
              <w:t>12</w:t>
            </w:r>
          </w:p>
        </w:tc>
      </w:tr>
      <w:tr>
        <w:trPr>
          <w:cantSplit/>
        </w:trPr>
        <w:tc>
          <w:tcPr>
            <w:tcW w:type="dxa" w:w="1020"/>
            <w:vAlign w:val="top"/>
          </w:tcPr>
          <w:p>
            <w:pPr>
              <w:spacing w:before="60" w:after="60"/>
            </w:pPr>
            <w:r>
              <w:rPr>
                <w:rFonts w:ascii="Arial" w:hAnsi="Arial"/>
                <w:b w:val="0"/>
                <w:sz w:val="19"/>
              </w:rPr>
              <w:t>G12</w:t>
            </w:r>
          </w:p>
        </w:tc>
        <w:tc>
          <w:tcPr>
            <w:tcW w:type="dxa" w:w="680"/>
            <w:vAlign w:val="top"/>
          </w:tcPr>
          <w:p>
            <w:pPr>
              <w:spacing w:before="60" w:after="60"/>
            </w:pPr>
            <w:r>
              <w:rPr>
                <w:rFonts w:ascii="Arial" w:hAnsi="Arial"/>
                <w:b w:val="0"/>
                <w:sz w:val="19"/>
              </w:rPr>
              <w:t>B</w:t>
            </w:r>
          </w:p>
        </w:tc>
        <w:tc>
          <w:tcPr>
            <w:tcW w:type="dxa" w:w="6917"/>
            <w:vAlign w:val="top"/>
          </w:tcPr>
          <w:p>
            <w:pPr>
              <w:spacing w:before="60" w:after="60"/>
            </w:pPr>
            <w:r>
              <w:rPr>
                <w:rFonts w:ascii="Arial" w:hAnsi="Arial"/>
                <w:b w:val="0"/>
                <w:sz w:val="19"/>
              </w:rPr>
              <w:t>xraydb_mass_attenuation</w:t>
            </w:r>
          </w:p>
        </w:tc>
        <w:tc>
          <w:tcPr>
            <w:tcW w:type="dxa" w:w="1304"/>
            <w:vAlign w:val="top"/>
          </w:tcPr>
          <w:p>
            <w:pPr>
              <w:spacing w:before="60" w:after="60"/>
            </w:pPr>
            <w:r>
              <w:rPr>
                <w:rFonts w:ascii="Arial" w:hAnsi="Arial"/>
                <w:b w:val="0"/>
                <w:sz w:val="19"/>
              </w:rPr>
              <w:t>28</w:t>
            </w:r>
          </w:p>
        </w:tc>
      </w:tr>
      <w:tr>
        <w:trPr>
          <w:cantSplit/>
        </w:trPr>
        <w:tc>
          <w:tcPr>
            <w:tcW w:type="dxa" w:w="1020"/>
            <w:vAlign w:val="top"/>
          </w:tcPr>
          <w:p>
            <w:pPr>
              <w:spacing w:before="60" w:after="60"/>
            </w:pPr>
            <w:r>
              <w:rPr>
                <w:rFonts w:ascii="Arial" w:hAnsi="Arial"/>
                <w:b w:val="0"/>
                <w:sz w:val="19"/>
              </w:rPr>
              <w:t>G13</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ciaaw_standard_atomic_weights_2024</w:t>
            </w:r>
          </w:p>
        </w:tc>
        <w:tc>
          <w:tcPr>
            <w:tcW w:type="dxa" w:w="1304"/>
            <w:vAlign w:val="top"/>
          </w:tcPr>
          <w:p>
            <w:pPr>
              <w:spacing w:before="60" w:after="60"/>
            </w:pPr>
            <w:r>
              <w:rPr>
                <w:rFonts w:ascii="Arial" w:hAnsi="Arial"/>
                <w:b w:val="0"/>
                <w:sz w:val="19"/>
              </w:rPr>
              <w:t>5</w:t>
            </w:r>
          </w:p>
        </w:tc>
      </w:tr>
      <w:tr>
        <w:trPr>
          <w:cantSplit/>
        </w:trPr>
        <w:tc>
          <w:tcPr>
            <w:tcW w:type="dxa" w:w="1020"/>
            <w:vAlign w:val="top"/>
          </w:tcPr>
          <w:p>
            <w:pPr>
              <w:spacing w:before="60" w:after="60"/>
            </w:pPr>
            <w:r>
              <w:rPr>
                <w:rFonts w:ascii="Arial" w:hAnsi="Arial"/>
                <w:b w:val="0"/>
                <w:sz w:val="19"/>
              </w:rPr>
              <w:t>G14</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mendeleev_derived</w:t>
            </w:r>
          </w:p>
        </w:tc>
        <w:tc>
          <w:tcPr>
            <w:tcW w:type="dxa" w:w="1304"/>
            <w:vAlign w:val="top"/>
          </w:tcPr>
          <w:p>
            <w:pPr>
              <w:spacing w:before="60" w:after="60"/>
            </w:pPr>
            <w:r>
              <w:rPr>
                <w:rFonts w:ascii="Arial" w:hAnsi="Arial"/>
                <w:b w:val="0"/>
                <w:sz w:val="19"/>
              </w:rPr>
              <w:t>24</w:t>
            </w:r>
          </w:p>
        </w:tc>
      </w:tr>
      <w:tr>
        <w:trPr>
          <w:cantSplit/>
        </w:trPr>
        <w:tc>
          <w:tcPr>
            <w:tcW w:type="dxa" w:w="1020"/>
            <w:vAlign w:val="top"/>
          </w:tcPr>
          <w:p>
            <w:pPr>
              <w:spacing w:before="60" w:after="60"/>
            </w:pPr>
            <w:r>
              <w:rPr>
                <w:rFonts w:ascii="Arial" w:hAnsi="Arial"/>
                <w:b w:val="0"/>
                <w:sz w:val="19"/>
              </w:rPr>
              <w:t>G15</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mendeleev_effective_nuclear_charge</w:t>
            </w:r>
          </w:p>
        </w:tc>
        <w:tc>
          <w:tcPr>
            <w:tcW w:type="dxa" w:w="1304"/>
            <w:vAlign w:val="top"/>
          </w:tcPr>
          <w:p>
            <w:pPr>
              <w:spacing w:before="60" w:after="60"/>
            </w:pPr>
            <w:r>
              <w:rPr>
                <w:rFonts w:ascii="Arial" w:hAnsi="Arial"/>
                <w:b w:val="0"/>
                <w:sz w:val="19"/>
              </w:rPr>
              <w:t>34</w:t>
            </w:r>
          </w:p>
        </w:tc>
      </w:tr>
      <w:tr>
        <w:trPr>
          <w:cantSplit/>
        </w:trPr>
        <w:tc>
          <w:tcPr>
            <w:tcW w:type="dxa" w:w="1020"/>
            <w:vAlign w:val="top"/>
          </w:tcPr>
          <w:p>
            <w:pPr>
              <w:spacing w:before="60" w:after="60"/>
            </w:pPr>
            <w:r>
              <w:rPr>
                <w:rFonts w:ascii="Arial" w:hAnsi="Arial"/>
                <w:b w:val="0"/>
                <w:sz w:val="19"/>
              </w:rPr>
              <w:t>G16</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mendeleev_electron_configuration</w:t>
            </w:r>
          </w:p>
        </w:tc>
        <w:tc>
          <w:tcPr>
            <w:tcW w:type="dxa" w:w="1304"/>
            <w:vAlign w:val="top"/>
          </w:tcPr>
          <w:p>
            <w:pPr>
              <w:spacing w:before="60" w:after="60"/>
            </w:pPr>
            <w:r>
              <w:rPr>
                <w:rFonts w:ascii="Arial" w:hAnsi="Arial"/>
                <w:b w:val="0"/>
                <w:sz w:val="19"/>
              </w:rPr>
              <w:t>19</w:t>
            </w:r>
          </w:p>
        </w:tc>
      </w:tr>
      <w:tr>
        <w:trPr>
          <w:cantSplit/>
        </w:trPr>
        <w:tc>
          <w:tcPr>
            <w:tcW w:type="dxa" w:w="1020"/>
            <w:vAlign w:val="top"/>
          </w:tcPr>
          <w:p>
            <w:pPr>
              <w:spacing w:before="60" w:after="60"/>
            </w:pPr>
            <w:r>
              <w:rPr>
                <w:rFonts w:ascii="Arial" w:hAnsi="Arial"/>
                <w:b w:val="0"/>
                <w:sz w:val="19"/>
              </w:rPr>
              <w:t>G17</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mendeleev_ionization</w:t>
            </w:r>
          </w:p>
        </w:tc>
        <w:tc>
          <w:tcPr>
            <w:tcW w:type="dxa" w:w="1304"/>
            <w:vAlign w:val="top"/>
          </w:tcPr>
          <w:p>
            <w:pPr>
              <w:spacing w:before="60" w:after="60"/>
            </w:pPr>
            <w:r>
              <w:rPr>
                <w:rFonts w:ascii="Arial" w:hAnsi="Arial"/>
                <w:b w:val="0"/>
                <w:sz w:val="19"/>
              </w:rPr>
              <w:t>17</w:t>
            </w:r>
          </w:p>
        </w:tc>
      </w:tr>
      <w:tr>
        <w:trPr>
          <w:cantSplit/>
        </w:trPr>
        <w:tc>
          <w:tcPr>
            <w:tcW w:type="dxa" w:w="1020"/>
            <w:vAlign w:val="top"/>
          </w:tcPr>
          <w:p>
            <w:pPr>
              <w:spacing w:before="60" w:after="60"/>
            </w:pPr>
            <w:r>
              <w:rPr>
                <w:rFonts w:ascii="Arial" w:hAnsi="Arial"/>
                <w:b w:val="0"/>
                <w:sz w:val="19"/>
              </w:rPr>
              <w:t>G18</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mendeleev_ionization_uncertainty</w:t>
            </w:r>
          </w:p>
        </w:tc>
        <w:tc>
          <w:tcPr>
            <w:tcW w:type="dxa" w:w="1304"/>
            <w:vAlign w:val="top"/>
          </w:tcPr>
          <w:p>
            <w:pPr>
              <w:spacing w:before="60" w:after="60"/>
            </w:pPr>
            <w:r>
              <w:rPr>
                <w:rFonts w:ascii="Arial" w:hAnsi="Arial"/>
                <w:b w:val="0"/>
                <w:sz w:val="19"/>
              </w:rPr>
              <w:t>44</w:t>
            </w:r>
          </w:p>
        </w:tc>
      </w:tr>
      <w:tr>
        <w:trPr>
          <w:cantSplit/>
        </w:trPr>
        <w:tc>
          <w:tcPr>
            <w:tcW w:type="dxa" w:w="1020"/>
            <w:vAlign w:val="top"/>
          </w:tcPr>
          <w:p>
            <w:pPr>
              <w:spacing w:before="60" w:after="60"/>
            </w:pPr>
            <w:r>
              <w:rPr>
                <w:rFonts w:ascii="Arial" w:hAnsi="Arial"/>
                <w:b w:val="0"/>
                <w:sz w:val="19"/>
              </w:rPr>
              <w:t>G19</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mendeleev_isotope</w:t>
            </w:r>
          </w:p>
        </w:tc>
        <w:tc>
          <w:tcPr>
            <w:tcW w:type="dxa" w:w="1304"/>
            <w:vAlign w:val="top"/>
          </w:tcPr>
          <w:p>
            <w:pPr>
              <w:spacing w:before="60" w:after="60"/>
            </w:pPr>
            <w:r>
              <w:rPr>
                <w:rFonts w:ascii="Arial" w:hAnsi="Arial"/>
                <w:b w:val="0"/>
                <w:sz w:val="19"/>
              </w:rPr>
              <w:t>55</w:t>
            </w:r>
          </w:p>
        </w:tc>
      </w:tr>
      <w:tr>
        <w:trPr>
          <w:cantSplit/>
        </w:trPr>
        <w:tc>
          <w:tcPr>
            <w:tcW w:type="dxa" w:w="1020"/>
            <w:vAlign w:val="top"/>
          </w:tcPr>
          <w:p>
            <w:pPr>
              <w:spacing w:before="60" w:after="60"/>
            </w:pPr>
            <w:r>
              <w:rPr>
                <w:rFonts w:ascii="Arial" w:hAnsi="Arial"/>
                <w:b w:val="0"/>
                <w:sz w:val="19"/>
              </w:rPr>
              <w:t>G20</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mendeleev_isotope_decay_modes</w:t>
            </w:r>
          </w:p>
        </w:tc>
        <w:tc>
          <w:tcPr>
            <w:tcW w:type="dxa" w:w="1304"/>
            <w:vAlign w:val="top"/>
          </w:tcPr>
          <w:p>
            <w:pPr>
              <w:spacing w:before="60" w:after="60"/>
            </w:pPr>
            <w:r>
              <w:rPr>
                <w:rFonts w:ascii="Arial" w:hAnsi="Arial"/>
                <w:b w:val="0"/>
                <w:sz w:val="19"/>
              </w:rPr>
              <w:t>47</w:t>
            </w:r>
          </w:p>
        </w:tc>
      </w:tr>
      <w:tr>
        <w:trPr>
          <w:cantSplit/>
        </w:trPr>
        <w:tc>
          <w:tcPr>
            <w:tcW w:type="dxa" w:w="1020"/>
            <w:vAlign w:val="top"/>
          </w:tcPr>
          <w:p>
            <w:pPr>
              <w:spacing w:before="60" w:after="60"/>
            </w:pPr>
            <w:r>
              <w:rPr>
                <w:rFonts w:ascii="Arial" w:hAnsi="Arial"/>
                <w:b w:val="0"/>
                <w:sz w:val="19"/>
              </w:rPr>
              <w:t>G21</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mendeleev_isotope_extended</w:t>
            </w:r>
          </w:p>
        </w:tc>
        <w:tc>
          <w:tcPr>
            <w:tcW w:type="dxa" w:w="1304"/>
            <w:vAlign w:val="top"/>
          </w:tcPr>
          <w:p>
            <w:pPr>
              <w:spacing w:before="60" w:after="60"/>
            </w:pPr>
            <w:r>
              <w:rPr>
                <w:rFonts w:ascii="Arial" w:hAnsi="Arial"/>
                <w:b w:val="0"/>
                <w:sz w:val="19"/>
              </w:rPr>
              <w:t>40</w:t>
            </w:r>
          </w:p>
        </w:tc>
      </w:tr>
      <w:tr>
        <w:trPr>
          <w:cantSplit/>
        </w:trPr>
        <w:tc>
          <w:tcPr>
            <w:tcW w:type="dxa" w:w="1020"/>
            <w:vAlign w:val="top"/>
          </w:tcPr>
          <w:p>
            <w:pPr>
              <w:spacing w:before="60" w:after="60"/>
            </w:pPr>
            <w:r>
              <w:rPr>
                <w:rFonts w:ascii="Arial" w:hAnsi="Arial"/>
                <w:b w:val="0"/>
                <w:sz w:val="19"/>
              </w:rPr>
              <w:t>G22</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mendeleev_oxidation</w:t>
            </w:r>
          </w:p>
        </w:tc>
        <w:tc>
          <w:tcPr>
            <w:tcW w:type="dxa" w:w="1304"/>
            <w:vAlign w:val="top"/>
          </w:tcPr>
          <w:p>
            <w:pPr>
              <w:spacing w:before="60" w:after="60"/>
            </w:pPr>
            <w:r>
              <w:rPr>
                <w:rFonts w:ascii="Arial" w:hAnsi="Arial"/>
                <w:b w:val="0"/>
                <w:sz w:val="19"/>
              </w:rPr>
              <w:t>78</w:t>
            </w:r>
          </w:p>
        </w:tc>
      </w:tr>
      <w:tr>
        <w:trPr>
          <w:cantSplit/>
        </w:trPr>
        <w:tc>
          <w:tcPr>
            <w:tcW w:type="dxa" w:w="1020"/>
            <w:vAlign w:val="top"/>
          </w:tcPr>
          <w:p>
            <w:pPr>
              <w:spacing w:before="60" w:after="60"/>
            </w:pPr>
            <w:r>
              <w:rPr>
                <w:rFonts w:ascii="Arial" w:hAnsi="Arial"/>
                <w:b w:val="0"/>
                <w:sz w:val="19"/>
              </w:rPr>
              <w:t>G23</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mendeleev_phase</w:t>
            </w:r>
          </w:p>
        </w:tc>
        <w:tc>
          <w:tcPr>
            <w:tcW w:type="dxa" w:w="1304"/>
            <w:vAlign w:val="top"/>
          </w:tcPr>
          <w:p>
            <w:pPr>
              <w:spacing w:before="60" w:after="60"/>
            </w:pPr>
            <w:r>
              <w:rPr>
                <w:rFonts w:ascii="Arial" w:hAnsi="Arial"/>
                <w:b w:val="0"/>
                <w:sz w:val="19"/>
              </w:rPr>
              <w:t>46</w:t>
            </w:r>
          </w:p>
        </w:tc>
      </w:tr>
      <w:tr>
        <w:trPr>
          <w:cantSplit/>
        </w:trPr>
        <w:tc>
          <w:tcPr>
            <w:tcW w:type="dxa" w:w="1020"/>
            <w:vAlign w:val="top"/>
          </w:tcPr>
          <w:p>
            <w:pPr>
              <w:spacing w:before="60" w:after="60"/>
            </w:pPr>
            <w:r>
              <w:rPr>
                <w:rFonts w:ascii="Arial" w:hAnsi="Arial"/>
                <w:b w:val="0"/>
                <w:sz w:val="19"/>
              </w:rPr>
              <w:t>G24</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nist_atomic_orbital_lda_derived</w:t>
            </w:r>
          </w:p>
        </w:tc>
        <w:tc>
          <w:tcPr>
            <w:tcW w:type="dxa" w:w="1304"/>
            <w:vAlign w:val="top"/>
          </w:tcPr>
          <w:p>
            <w:pPr>
              <w:spacing w:before="60" w:after="60"/>
            </w:pPr>
            <w:r>
              <w:rPr>
                <w:rFonts w:ascii="Arial" w:hAnsi="Arial"/>
                <w:b w:val="0"/>
                <w:sz w:val="19"/>
              </w:rPr>
              <w:t>5</w:t>
            </w:r>
          </w:p>
        </w:tc>
      </w:tr>
      <w:tr>
        <w:trPr>
          <w:cantSplit/>
        </w:trPr>
        <w:tc>
          <w:tcPr>
            <w:tcW w:type="dxa" w:w="1020"/>
            <w:vAlign w:val="top"/>
          </w:tcPr>
          <w:p>
            <w:pPr>
              <w:spacing w:before="60" w:after="60"/>
            </w:pPr>
            <w:r>
              <w:rPr>
                <w:rFonts w:ascii="Arial" w:hAnsi="Arial"/>
                <w:b w:val="0"/>
                <w:sz w:val="19"/>
              </w:rPr>
              <w:t>G25</w:t>
            </w:r>
          </w:p>
        </w:tc>
        <w:tc>
          <w:tcPr>
            <w:tcW w:type="dxa" w:w="680"/>
            <w:vAlign w:val="top"/>
          </w:tcPr>
          <w:p>
            <w:pPr>
              <w:spacing w:before="60" w:after="60"/>
            </w:pPr>
            <w:r>
              <w:rPr>
                <w:rFonts w:ascii="Arial" w:hAnsi="Arial"/>
                <w:b w:val="0"/>
                <w:sz w:val="19"/>
              </w:rPr>
              <w:t>C</w:t>
            </w:r>
          </w:p>
        </w:tc>
        <w:tc>
          <w:tcPr>
            <w:tcW w:type="dxa" w:w="6917"/>
            <w:vAlign w:val="top"/>
          </w:tcPr>
          <w:p>
            <w:pPr>
              <w:spacing w:before="60" w:after="60"/>
            </w:pPr>
            <w:r>
              <w:rPr>
                <w:rFonts w:ascii="Arial" w:hAnsi="Arial"/>
                <w:b w:val="0"/>
                <w:sz w:val="19"/>
              </w:rPr>
              <w:t>nist_neutron_natural_element_derived</w:t>
            </w:r>
          </w:p>
        </w:tc>
        <w:tc>
          <w:tcPr>
            <w:tcW w:type="dxa" w:w="1304"/>
            <w:vAlign w:val="top"/>
          </w:tcPr>
          <w:p>
            <w:pPr>
              <w:spacing w:before="60" w:after="60"/>
            </w:pPr>
            <w:r>
              <w:rPr>
                <w:rFonts w:ascii="Arial" w:hAnsi="Arial"/>
                <w:b w:val="0"/>
                <w:sz w:val="19"/>
              </w:rPr>
              <w:t>1</w:t>
            </w:r>
          </w:p>
        </w:tc>
      </w:tr>
      <w:tr>
        <w:trPr>
          <w:cantSplit/>
        </w:trPr>
        <w:tc>
          <w:tcPr>
            <w:tcW w:type="dxa" w:w="1020"/>
            <w:vAlign w:val="top"/>
          </w:tcPr>
          <w:p>
            <w:pPr>
              <w:spacing w:before="60" w:after="60"/>
            </w:pPr>
            <w:r>
              <w:rPr>
                <w:rFonts w:ascii="Arial" w:hAnsi="Arial"/>
                <w:b w:val="0"/>
                <w:sz w:val="19"/>
              </w:rPr>
              <w:t>G26</w:t>
            </w:r>
          </w:p>
        </w:tc>
        <w:tc>
          <w:tcPr>
            <w:tcW w:type="dxa" w:w="680"/>
            <w:vAlign w:val="top"/>
          </w:tcPr>
          <w:p>
            <w:pPr>
              <w:spacing w:before="60" w:after="60"/>
            </w:pPr>
            <w:r>
              <w:rPr>
                <w:rFonts w:ascii="Arial" w:hAnsi="Arial"/>
                <w:b w:val="0"/>
                <w:sz w:val="19"/>
              </w:rPr>
              <w:t>D</w:t>
            </w:r>
          </w:p>
        </w:tc>
        <w:tc>
          <w:tcPr>
            <w:tcW w:type="dxa" w:w="6917"/>
            <w:vAlign w:val="top"/>
          </w:tcPr>
          <w:p>
            <w:pPr>
              <w:spacing w:before="60" w:after="60"/>
            </w:pPr>
            <w:r>
              <w:rPr>
                <w:rFonts w:ascii="Arial" w:hAnsi="Arial"/>
                <w:b w:val="0"/>
                <w:sz w:val="19"/>
              </w:rPr>
              <w:t>mendeleev_element</w:t>
            </w:r>
          </w:p>
        </w:tc>
        <w:tc>
          <w:tcPr>
            <w:tcW w:type="dxa" w:w="1304"/>
            <w:vAlign w:val="top"/>
          </w:tcPr>
          <w:p>
            <w:pPr>
              <w:spacing w:before="60" w:after="60"/>
            </w:pPr>
            <w:r>
              <w:rPr>
                <w:rFonts w:ascii="Arial" w:hAnsi="Arial"/>
                <w:b w:val="0"/>
                <w:sz w:val="19"/>
              </w:rPr>
              <w:t>37</w:t>
            </w:r>
          </w:p>
        </w:tc>
      </w:tr>
      <w:tr>
        <w:trPr>
          <w:cantSplit/>
        </w:trPr>
        <w:tc>
          <w:tcPr>
            <w:tcW w:type="dxa" w:w="1020"/>
            <w:vAlign w:val="top"/>
          </w:tcPr>
          <w:p>
            <w:pPr>
              <w:spacing w:before="60" w:after="60"/>
            </w:pPr>
            <w:r>
              <w:rPr>
                <w:rFonts w:ascii="Arial" w:hAnsi="Arial"/>
                <w:b w:val="0"/>
                <w:sz w:val="19"/>
              </w:rPr>
              <w:t>G27</w:t>
            </w:r>
          </w:p>
        </w:tc>
        <w:tc>
          <w:tcPr>
            <w:tcW w:type="dxa" w:w="680"/>
            <w:vAlign w:val="top"/>
          </w:tcPr>
          <w:p>
            <w:pPr>
              <w:spacing w:before="60" w:after="60"/>
            </w:pPr>
            <w:r>
              <w:rPr>
                <w:rFonts w:ascii="Arial" w:hAnsi="Arial"/>
                <w:b w:val="0"/>
                <w:sz w:val="19"/>
              </w:rPr>
              <w:t>D</w:t>
            </w:r>
          </w:p>
        </w:tc>
        <w:tc>
          <w:tcPr>
            <w:tcW w:type="dxa" w:w="6917"/>
            <w:vAlign w:val="top"/>
          </w:tcPr>
          <w:p>
            <w:pPr>
              <w:spacing w:before="60" w:after="60"/>
            </w:pPr>
            <w:r>
              <w:rPr>
                <w:rFonts w:ascii="Arial" w:hAnsi="Arial"/>
                <w:b w:val="0"/>
                <w:sz w:val="19"/>
              </w:rPr>
              <w:t>mendeleev_isotope</w:t>
            </w:r>
          </w:p>
        </w:tc>
        <w:tc>
          <w:tcPr>
            <w:tcW w:type="dxa" w:w="1304"/>
            <w:vAlign w:val="top"/>
          </w:tcPr>
          <w:p>
            <w:pPr>
              <w:spacing w:before="60" w:after="60"/>
            </w:pPr>
            <w:r>
              <w:rPr>
                <w:rFonts w:ascii="Arial" w:hAnsi="Arial"/>
                <w:b w:val="0"/>
                <w:sz w:val="19"/>
              </w:rPr>
              <w:t>7</w:t>
            </w:r>
          </w:p>
        </w:tc>
      </w:tr>
      <w:tr>
        <w:trPr>
          <w:cantSplit/>
        </w:trPr>
        <w:tc>
          <w:tcPr>
            <w:tcW w:type="dxa" w:w="1020"/>
            <w:vAlign w:val="top"/>
          </w:tcPr>
          <w:p>
            <w:pPr>
              <w:spacing w:before="60" w:after="60"/>
            </w:pPr>
            <w:r>
              <w:rPr>
                <w:rFonts w:ascii="Arial" w:hAnsi="Arial"/>
                <w:b w:val="0"/>
                <w:sz w:val="19"/>
              </w:rPr>
              <w:t>G28</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emb_cgcnn</w:t>
            </w:r>
          </w:p>
        </w:tc>
        <w:tc>
          <w:tcPr>
            <w:tcW w:type="dxa" w:w="1304"/>
            <w:vAlign w:val="top"/>
          </w:tcPr>
          <w:p>
            <w:pPr>
              <w:spacing w:before="60" w:after="60"/>
            </w:pPr>
            <w:r>
              <w:rPr>
                <w:rFonts w:ascii="Arial" w:hAnsi="Arial"/>
                <w:b w:val="0"/>
                <w:sz w:val="19"/>
              </w:rPr>
              <w:t>92</w:t>
            </w:r>
          </w:p>
        </w:tc>
      </w:tr>
      <w:tr>
        <w:trPr>
          <w:cantSplit/>
        </w:trPr>
        <w:tc>
          <w:tcPr>
            <w:tcW w:type="dxa" w:w="1020"/>
            <w:vAlign w:val="top"/>
          </w:tcPr>
          <w:p>
            <w:pPr>
              <w:spacing w:before="60" w:after="60"/>
            </w:pPr>
            <w:r>
              <w:rPr>
                <w:rFonts w:ascii="Arial" w:hAnsi="Arial"/>
                <w:b w:val="0"/>
                <w:sz w:val="19"/>
              </w:rPr>
              <w:t>G29</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emb_chgnet</w:t>
            </w:r>
          </w:p>
        </w:tc>
        <w:tc>
          <w:tcPr>
            <w:tcW w:type="dxa" w:w="1304"/>
            <w:vAlign w:val="top"/>
          </w:tcPr>
          <w:p>
            <w:pPr>
              <w:spacing w:before="60" w:after="60"/>
            </w:pPr>
            <w:r>
              <w:rPr>
                <w:rFonts w:ascii="Arial" w:hAnsi="Arial"/>
                <w:b w:val="0"/>
                <w:sz w:val="19"/>
              </w:rPr>
              <w:t>64</w:t>
            </w:r>
          </w:p>
        </w:tc>
      </w:tr>
      <w:tr>
        <w:trPr>
          <w:cantSplit/>
        </w:trPr>
        <w:tc>
          <w:tcPr>
            <w:tcW w:type="dxa" w:w="1020"/>
            <w:vAlign w:val="top"/>
          </w:tcPr>
          <w:p>
            <w:pPr>
              <w:spacing w:before="60" w:after="60"/>
            </w:pPr>
            <w:r>
              <w:rPr>
                <w:rFonts w:ascii="Arial" w:hAnsi="Arial"/>
                <w:b w:val="0"/>
                <w:sz w:val="19"/>
              </w:rPr>
              <w:t>G30</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emb_mat2vec</w:t>
            </w:r>
          </w:p>
        </w:tc>
        <w:tc>
          <w:tcPr>
            <w:tcW w:type="dxa" w:w="1304"/>
            <w:vAlign w:val="top"/>
          </w:tcPr>
          <w:p>
            <w:pPr>
              <w:spacing w:before="60" w:after="60"/>
            </w:pPr>
            <w:r>
              <w:rPr>
                <w:rFonts w:ascii="Arial" w:hAnsi="Arial"/>
                <w:b w:val="0"/>
                <w:sz w:val="19"/>
              </w:rPr>
              <w:t>200</w:t>
            </w:r>
          </w:p>
        </w:tc>
      </w:tr>
      <w:tr>
        <w:trPr>
          <w:cantSplit/>
        </w:trPr>
        <w:tc>
          <w:tcPr>
            <w:tcW w:type="dxa" w:w="1020"/>
            <w:vAlign w:val="top"/>
          </w:tcPr>
          <w:p>
            <w:pPr>
              <w:spacing w:before="60" w:after="60"/>
            </w:pPr>
            <w:r>
              <w:rPr>
                <w:rFonts w:ascii="Arial" w:hAnsi="Arial"/>
                <w:b w:val="0"/>
                <w:sz w:val="19"/>
              </w:rPr>
              <w:t>G31</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emb_matscholar</w:t>
            </w:r>
          </w:p>
        </w:tc>
        <w:tc>
          <w:tcPr>
            <w:tcW w:type="dxa" w:w="1304"/>
            <w:vAlign w:val="top"/>
          </w:tcPr>
          <w:p>
            <w:pPr>
              <w:spacing w:before="60" w:after="60"/>
            </w:pPr>
            <w:r>
              <w:rPr>
                <w:rFonts w:ascii="Arial" w:hAnsi="Arial"/>
                <w:b w:val="0"/>
                <w:sz w:val="19"/>
              </w:rPr>
              <w:t>200</w:t>
            </w:r>
          </w:p>
        </w:tc>
      </w:tr>
      <w:tr>
        <w:trPr>
          <w:cantSplit/>
        </w:trPr>
        <w:tc>
          <w:tcPr>
            <w:tcW w:type="dxa" w:w="1020"/>
            <w:vAlign w:val="top"/>
          </w:tcPr>
          <w:p>
            <w:pPr>
              <w:spacing w:before="60" w:after="60"/>
            </w:pPr>
            <w:r>
              <w:rPr>
                <w:rFonts w:ascii="Arial" w:hAnsi="Arial"/>
                <w:b w:val="0"/>
                <w:sz w:val="19"/>
              </w:rPr>
              <w:t>G32</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emb_megnet16</w:t>
            </w:r>
          </w:p>
        </w:tc>
        <w:tc>
          <w:tcPr>
            <w:tcW w:type="dxa" w:w="1304"/>
            <w:vAlign w:val="top"/>
          </w:tcPr>
          <w:p>
            <w:pPr>
              <w:spacing w:before="60" w:after="60"/>
            </w:pPr>
            <w:r>
              <w:rPr>
                <w:rFonts w:ascii="Arial" w:hAnsi="Arial"/>
                <w:b w:val="0"/>
                <w:sz w:val="19"/>
              </w:rPr>
              <w:t>16</w:t>
            </w:r>
          </w:p>
        </w:tc>
      </w:tr>
      <w:tr>
        <w:trPr>
          <w:cantSplit/>
        </w:trPr>
        <w:tc>
          <w:tcPr>
            <w:tcW w:type="dxa" w:w="1020"/>
            <w:vAlign w:val="top"/>
          </w:tcPr>
          <w:p>
            <w:pPr>
              <w:spacing w:before="60" w:after="60"/>
            </w:pPr>
            <w:r>
              <w:rPr>
                <w:rFonts w:ascii="Arial" w:hAnsi="Arial"/>
                <w:b w:val="0"/>
                <w:sz w:val="19"/>
              </w:rPr>
              <w:t>G33</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emb_sevennet</w:t>
            </w:r>
          </w:p>
        </w:tc>
        <w:tc>
          <w:tcPr>
            <w:tcW w:type="dxa" w:w="1304"/>
            <w:vAlign w:val="top"/>
          </w:tcPr>
          <w:p>
            <w:pPr>
              <w:spacing w:before="60" w:after="60"/>
            </w:pPr>
            <w:r>
              <w:rPr>
                <w:rFonts w:ascii="Arial" w:hAnsi="Arial"/>
                <w:b w:val="0"/>
                <w:sz w:val="19"/>
              </w:rPr>
              <w:t>128</w:t>
            </w:r>
          </w:p>
        </w:tc>
      </w:tr>
      <w:tr>
        <w:trPr>
          <w:cantSplit/>
        </w:trPr>
        <w:tc>
          <w:tcPr>
            <w:tcW w:type="dxa" w:w="1020"/>
            <w:vAlign w:val="top"/>
          </w:tcPr>
          <w:p>
            <w:pPr>
              <w:spacing w:before="60" w:after="60"/>
            </w:pPr>
            <w:r>
              <w:rPr>
                <w:rFonts w:ascii="Arial" w:hAnsi="Arial"/>
                <w:b w:val="0"/>
                <w:sz w:val="19"/>
              </w:rPr>
              <w:t>G34</w:t>
            </w:r>
          </w:p>
        </w:tc>
        <w:tc>
          <w:tcPr>
            <w:tcW w:type="dxa" w:w="680"/>
            <w:vAlign w:val="top"/>
          </w:tcPr>
          <w:p>
            <w:pPr>
              <w:spacing w:before="60" w:after="60"/>
            </w:pPr>
            <w:r>
              <w:rPr>
                <w:rFonts w:ascii="Arial" w:hAnsi="Arial"/>
                <w:b w:val="0"/>
                <w:sz w:val="19"/>
              </w:rPr>
              <w:t>G</w:t>
            </w:r>
          </w:p>
        </w:tc>
        <w:tc>
          <w:tcPr>
            <w:tcW w:type="dxa" w:w="6917"/>
            <w:vAlign w:val="top"/>
          </w:tcPr>
          <w:p>
            <w:pPr>
              <w:spacing w:before="60" w:after="60"/>
            </w:pPr>
            <w:r>
              <w:rPr>
                <w:rFonts w:ascii="Arial" w:hAnsi="Arial"/>
                <w:b w:val="0"/>
                <w:sz w:val="19"/>
              </w:rPr>
              <w:t>emb_skipatom</w:t>
            </w:r>
          </w:p>
        </w:tc>
        <w:tc>
          <w:tcPr>
            <w:tcW w:type="dxa" w:w="1304"/>
            <w:vAlign w:val="top"/>
          </w:tcPr>
          <w:p>
            <w:pPr>
              <w:spacing w:before="60" w:after="60"/>
            </w:pPr>
            <w:r>
              <w:rPr>
                <w:rFonts w:ascii="Arial" w:hAnsi="Arial"/>
                <w:b w:val="0"/>
                <w:sz w:val="19"/>
              </w:rPr>
              <w:t>200</w:t>
            </w:r>
          </w:p>
        </w:tc>
      </w:tr>
    </w:tbl>
    <w:p>
      <w:pPr>
        <w:pStyle w:val="Heading1"/>
        <w:widowControl/>
      </w:pPr>
      <w:r>
        <w:rPr>
          <w:i w:val="0"/>
        </w:rPr>
        <w:t>S3. What the Tier audit does and does not establish</w:t>
      </w:r>
    </w:p>
    <w:p>
      <w:pPr>
        <w:widowControl/>
      </w:pPr>
      <w:r>
        <w:rPr>
          <w:i w:val="0"/>
        </w:rPr>
        <w:t>The phrase "blinded second-pass review" is withdrawn. Execution of a classifier without initial-label fields is not equivalent to independent or blinded rule development: the initial classifications were known when the historical rules were drafted. The scores compare initial labels with labels generated by those related rules. They are descriptive measures of operational consistency, not a validation accuracy, a ground-truth assessment, or independent human inter-rater reliability.</w:t>
      </w:r>
    </w:p>
    <w:p>
      <w:pPr>
        <w:widowControl/>
      </w:pPr>
      <w:r>
        <w:rPr>
          <w:i w:val="0"/>
        </w:rPr>
        <w:t>OpenAI ChatGPT assisted the drafting of classification logic and code. The deterministic Python rules subsequently assigned labels. Author responsibility for the curation and manuscript is not a second human-rater experiment. The 120 differing assignments have recorded rule-based resolutions; they do not document independent votes. No additional human reviewer or retrospective human-inspection claim is introduced in this revision.</w:t>
      </w:r>
    </w:p>
    <w:p>
      <w:pPr>
        <w:widowControl/>
      </w:pPr>
      <w:r>
        <w:rPr>
          <w:i w:val="0"/>
        </w:rPr>
        <w:t>The exact historical ChatGPT model version, prompt sequence, and sampling settings were not retained as a reproducible API experiment. They are not invented here. Instead, the supplied scripts reconstruct the recorded rule logic from the available development record and verify its outputs against all saved audit assignments. No live AI call, external model account, network connection, or random seed is needed for this executable reproduction.</w:t>
      </w:r>
    </w:p>
    <w:p>
      <w:pPr>
        <w:pStyle w:val="Heading1"/>
        <w:widowControl/>
      </w:pPr>
      <w:r>
        <w:rPr>
          <w:i w:val="0"/>
        </w:rPr>
        <w:t>S4. Frozen inputs, rule order, and software</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4139"/>
        <w:gridCol w:w="5783"/>
      </w:tblGrid>
      <w:tr>
        <w:trPr>
          <w:cantSplit/>
          <w:tblHeader/>
        </w:trPr>
        <w:tc>
          <w:tcPr>
            <w:tcW w:type="dxa" w:w="4139"/>
            <w:vAlign w:val="top"/>
            <w:shd w:fill="E8EFF5"/>
          </w:tcPr>
          <w:p>
            <w:pPr>
              <w:spacing w:before="60" w:after="60"/>
            </w:pPr>
            <w:r>
              <w:rPr>
                <w:rFonts w:ascii="Arial" w:hAnsi="Arial"/>
                <w:b/>
                <w:sz w:val="19"/>
              </w:rPr>
              <w:t>File</w:t>
            </w:r>
          </w:p>
        </w:tc>
        <w:tc>
          <w:tcPr>
            <w:tcW w:type="dxa" w:w="5783"/>
            <w:vAlign w:val="top"/>
            <w:shd w:fill="E8EFF5"/>
          </w:tcPr>
          <w:p>
            <w:pPr>
              <w:spacing w:before="60" w:after="60"/>
            </w:pPr>
            <w:r>
              <w:rPr>
                <w:rFonts w:ascii="Arial" w:hAnsi="Arial"/>
                <w:b/>
                <w:sz w:val="19"/>
              </w:rPr>
              <w:t>Role</w:t>
            </w:r>
          </w:p>
        </w:tc>
      </w:tr>
      <w:tr>
        <w:trPr>
          <w:cantSplit/>
        </w:trPr>
        <w:tc>
          <w:tcPr>
            <w:tcW w:type="dxa" w:w="4139"/>
            <w:vAlign w:val="top"/>
          </w:tcPr>
          <w:p>
            <w:pPr>
              <w:spacing w:before="60" w:after="60"/>
            </w:pPr>
            <w:r>
              <w:rPr>
                <w:rFonts w:ascii="Arial" w:hAnsi="Arial"/>
                <w:b w:val="0"/>
                <w:sz w:val="19"/>
              </w:rPr>
              <w:t>classification/classification_inputs.csv</w:t>
            </w:r>
          </w:p>
        </w:tc>
        <w:tc>
          <w:tcPr>
            <w:tcW w:type="dxa" w:w="5783"/>
            <w:vAlign w:val="top"/>
          </w:tcPr>
          <w:p>
            <w:pPr>
              <w:spacing w:before="60" w:after="60"/>
            </w:pPr>
            <w:r>
              <w:rPr>
                <w:rFonts w:ascii="Arial" w:hAnsi="Arial"/>
                <w:b w:val="0"/>
                <w:sz w:val="19"/>
              </w:rPr>
              <w:t>5,200 metadata rows; no initial/audit/adopted Tier or matrix-assignment fields are exposed to classify(). The contents correspond to the legacy file named reviewer2_blinded_input.csv; its former filename is not evidence of blindness.</w:t>
            </w:r>
          </w:p>
        </w:tc>
      </w:tr>
      <w:tr>
        <w:trPr>
          <w:cantSplit/>
        </w:trPr>
        <w:tc>
          <w:tcPr>
            <w:tcW w:type="dxa" w:w="4139"/>
            <w:vAlign w:val="top"/>
          </w:tcPr>
          <w:p>
            <w:pPr>
              <w:spacing w:before="60" w:after="60"/>
            </w:pPr>
            <w:r>
              <w:rPr>
                <w:rFonts w:ascii="Arial" w:hAnsi="Arial"/>
                <w:b w:val="0"/>
                <w:sz w:val="19"/>
              </w:rPr>
              <w:t>classification/archived_label_pairs.csv</w:t>
            </w:r>
          </w:p>
        </w:tc>
        <w:tc>
          <w:tcPr>
            <w:tcW w:type="dxa" w:w="5783"/>
            <w:vAlign w:val="top"/>
          </w:tcPr>
          <w:p>
            <w:pPr>
              <w:spacing w:before="60" w:after="60"/>
            </w:pPr>
            <w:r>
              <w:rPr>
                <w:rFonts w:ascii="Arial" w:hAnsi="Arial"/>
                <w:b w:val="0"/>
                <w:sz w:val="19"/>
              </w:rPr>
              <w:t>Initial, archived-audit and adopted labels, public/optional status, and decision reasons. Labels are compared only after code-generated audit labels exist.</w:t>
            </w:r>
          </w:p>
        </w:tc>
      </w:tr>
      <w:tr>
        <w:trPr>
          <w:cantSplit/>
        </w:trPr>
        <w:tc>
          <w:tcPr>
            <w:tcW w:type="dxa" w:w="4139"/>
            <w:vAlign w:val="top"/>
          </w:tcPr>
          <w:p>
            <w:pPr>
              <w:spacing w:before="60" w:after="60"/>
            </w:pPr>
            <w:r>
              <w:rPr>
                <w:rFonts w:ascii="Arial" w:hAnsi="Arial"/>
                <w:b w:val="0"/>
                <w:sz w:val="19"/>
              </w:rPr>
              <w:t>scripts/tier_rules.py</w:t>
            </w:r>
          </w:p>
        </w:tc>
        <w:tc>
          <w:tcPr>
            <w:tcW w:type="dxa" w:w="5783"/>
            <w:vAlign w:val="top"/>
          </w:tcPr>
          <w:p>
            <w:pPr>
              <w:spacing w:before="60" w:after="60"/>
            </w:pPr>
            <w:r>
              <w:rPr>
                <w:rFonts w:ascii="Arial" w:hAnsi="Arial"/>
                <w:b w:val="0"/>
                <w:sz w:val="19"/>
              </w:rPr>
              <w:t>Ordered source-specific rule implementation, returning a Tier and rule ID.</w:t>
            </w:r>
          </w:p>
        </w:tc>
      </w:tr>
      <w:tr>
        <w:trPr>
          <w:cantSplit/>
        </w:trPr>
        <w:tc>
          <w:tcPr>
            <w:tcW w:type="dxa" w:w="4139"/>
            <w:vAlign w:val="top"/>
          </w:tcPr>
          <w:p>
            <w:pPr>
              <w:spacing w:before="60" w:after="60"/>
            </w:pPr>
            <w:r>
              <w:rPr>
                <w:rFonts w:ascii="Arial" w:hAnsi="Arial"/>
                <w:b w:val="0"/>
                <w:sz w:val="19"/>
              </w:rPr>
              <w:t>scripts/reproduce_tier_audit.py</w:t>
            </w:r>
          </w:p>
        </w:tc>
        <w:tc>
          <w:tcPr>
            <w:tcW w:type="dxa" w:w="5783"/>
            <w:vAlign w:val="top"/>
          </w:tcPr>
          <w:p>
            <w:pPr>
              <w:spacing w:before="60" w:after="60"/>
            </w:pPr>
            <w:r>
              <w:rPr>
                <w:rFonts w:ascii="Arial" w:hAnsi="Arial"/>
                <w:b w:val="0"/>
                <w:sz w:val="19"/>
              </w:rPr>
              <w:t>Runs classification; verifies output against archived labels; computes unweighted kappa, subset metrics and the confusion matrix.</w:t>
            </w:r>
          </w:p>
        </w:tc>
      </w:tr>
      <w:tr>
        <w:trPr>
          <w:cantSplit/>
        </w:trPr>
        <w:tc>
          <w:tcPr>
            <w:tcW w:type="dxa" w:w="4139"/>
            <w:vAlign w:val="top"/>
          </w:tcPr>
          <w:p>
            <w:pPr>
              <w:spacing w:before="60" w:after="60"/>
            </w:pPr>
            <w:r>
              <w:rPr>
                <w:rFonts w:ascii="Arial" w:hAnsi="Arial"/>
                <w:b w:val="0"/>
                <w:sz w:val="19"/>
              </w:rPr>
              <w:t>outputs/reproduced_assignments.csv</w:t>
            </w:r>
          </w:p>
        </w:tc>
        <w:tc>
          <w:tcPr>
            <w:tcW w:type="dxa" w:w="5783"/>
            <w:vAlign w:val="top"/>
          </w:tcPr>
          <w:p>
            <w:pPr>
              <w:spacing w:before="60" w:after="60"/>
            </w:pPr>
            <w:r>
              <w:rPr>
                <w:rFonts w:ascii="Arial" w:hAnsi="Arial"/>
                <w:b w:val="0"/>
                <w:sz w:val="19"/>
              </w:rPr>
              <w:t>One record per feature with rule ID and reproduced/archived labels.</w:t>
            </w:r>
          </w:p>
        </w:tc>
      </w:tr>
      <w:tr>
        <w:trPr>
          <w:cantSplit/>
        </w:trPr>
        <w:tc>
          <w:tcPr>
            <w:tcW w:type="dxa" w:w="4139"/>
            <w:vAlign w:val="top"/>
          </w:tcPr>
          <w:p>
            <w:pPr>
              <w:spacing w:before="60" w:after="60"/>
            </w:pPr>
            <w:r>
              <w:rPr>
                <w:rFonts w:ascii="Arial" w:hAnsi="Arial"/>
                <w:b w:val="0"/>
                <w:sz w:val="19"/>
              </w:rPr>
              <w:t>outputs/disagreement_decisions.csv</w:t>
            </w:r>
          </w:p>
        </w:tc>
        <w:tc>
          <w:tcPr>
            <w:tcW w:type="dxa" w:w="5783"/>
            <w:vAlign w:val="top"/>
          </w:tcPr>
          <w:p>
            <w:pPr>
              <w:spacing w:before="60" w:after="60"/>
            </w:pPr>
            <w:r>
              <w:rPr>
                <w:rFonts w:ascii="Arial" w:hAnsi="Arial"/>
                <w:b w:val="0"/>
                <w:sz w:val="19"/>
              </w:rPr>
              <w:t>120 differing initial/audit assignments with adopted labels and recorded rationales.</w:t>
            </w:r>
          </w:p>
        </w:tc>
      </w:tr>
      <w:tr>
        <w:trPr>
          <w:cantSplit/>
        </w:trPr>
        <w:tc>
          <w:tcPr>
            <w:tcW w:type="dxa" w:w="4139"/>
            <w:vAlign w:val="top"/>
          </w:tcPr>
          <w:p>
            <w:pPr>
              <w:spacing w:before="60" w:after="60"/>
            </w:pPr>
            <w:r>
              <w:rPr>
                <w:rFonts w:ascii="Arial" w:hAnsi="Arial"/>
                <w:b w:val="0"/>
                <w:sz w:val="19"/>
              </w:rPr>
              <w:t>outputs/tier_audit_summary.json</w:t>
            </w:r>
          </w:p>
        </w:tc>
        <w:tc>
          <w:tcPr>
            <w:tcW w:type="dxa" w:w="5783"/>
            <w:vAlign w:val="top"/>
          </w:tcPr>
          <w:p>
            <w:pPr>
              <w:spacing w:before="60" w:after="60"/>
            </w:pPr>
            <w:r>
              <w:rPr>
                <w:rFonts w:ascii="Arial" w:hAnsi="Arial"/>
                <w:b w:val="0"/>
                <w:sz w:val="19"/>
              </w:rPr>
              <w:t>Counts, Python environment and hashes of inputs and code.</w:t>
            </w:r>
          </w:p>
        </w:tc>
      </w:tr>
    </w:tbl>
    <w:p>
      <w:pPr>
        <w:pStyle w:val="Heading2"/>
        <w:widowControl/>
      </w:pPr>
      <w:r>
        <w:rPr>
          <w:i w:val="0"/>
        </w:rPr>
        <w:t>Table S2. Main source-specific rule families. The code is the definitive statement of precedence and exceptions.</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2494"/>
        <w:gridCol w:w="7427"/>
      </w:tblGrid>
      <w:tr>
        <w:trPr>
          <w:cantSplit/>
          <w:tblHeader/>
        </w:trPr>
        <w:tc>
          <w:tcPr>
            <w:tcW w:type="dxa" w:w="2494"/>
            <w:vAlign w:val="top"/>
            <w:shd w:fill="E8EFF5"/>
          </w:tcPr>
          <w:p>
            <w:pPr>
              <w:spacing w:before="60" w:after="60"/>
            </w:pPr>
            <w:r>
              <w:rPr>
                <w:rFonts w:ascii="Arial" w:hAnsi="Arial"/>
                <w:b/>
                <w:sz w:val="19"/>
              </w:rPr>
              <w:t>Priority / branch</w:t>
            </w:r>
          </w:p>
        </w:tc>
        <w:tc>
          <w:tcPr>
            <w:tcW w:type="dxa" w:w="7427"/>
            <w:vAlign w:val="top"/>
            <w:shd w:fill="E8EFF5"/>
          </w:tcPr>
          <w:p>
            <w:pPr>
              <w:spacing w:before="60" w:after="60"/>
            </w:pPr>
            <w:r>
              <w:rPr>
                <w:rFonts w:ascii="Arial" w:hAnsi="Arial"/>
                <w:b/>
                <w:sz w:val="19"/>
              </w:rPr>
              <w:t>Resulting decision</w:t>
            </w:r>
          </w:p>
        </w:tc>
      </w:tr>
      <w:tr>
        <w:trPr>
          <w:cantSplit/>
        </w:trPr>
        <w:tc>
          <w:tcPr>
            <w:tcW w:type="dxa" w:w="2494"/>
            <w:vAlign w:val="top"/>
          </w:tcPr>
          <w:p>
            <w:pPr>
              <w:spacing w:before="60" w:after="60"/>
            </w:pPr>
            <w:r>
              <w:rPr>
                <w:rFonts w:ascii="Arial" w:hAnsi="Arial"/>
                <w:b w:val="0"/>
                <w:sz w:val="19"/>
              </w:rPr>
              <w:t>Learned/encoded blocks</w:t>
            </w:r>
          </w:p>
        </w:tc>
        <w:tc>
          <w:tcPr>
            <w:tcW w:type="dxa" w:w="7427"/>
            <w:vAlign w:val="top"/>
          </w:tcPr>
          <w:p>
            <w:pPr>
              <w:spacing w:before="60" w:after="60"/>
            </w:pPr>
            <w:r>
              <w:rPr>
                <w:rFonts w:ascii="Arial" w:hAnsi="Arial"/>
                <w:b w:val="0"/>
                <w:sz w:val="19"/>
              </w:rPr>
              <w:t>Specified source blocks map to G. This describes their distributed coordinates, not a claim that every underlying atom encoding has no possible semantic interpretation.</w:t>
            </w:r>
          </w:p>
        </w:tc>
      </w:tr>
      <w:tr>
        <w:trPr>
          <w:cantSplit/>
        </w:trPr>
        <w:tc>
          <w:tcPr>
            <w:tcW w:type="dxa" w:w="2494"/>
            <w:vAlign w:val="top"/>
          </w:tcPr>
          <w:p>
            <w:pPr>
              <w:spacing w:before="60" w:after="60"/>
            </w:pPr>
            <w:r>
              <w:rPr>
                <w:rFonts w:ascii="Arial" w:hAnsi="Arial"/>
                <w:b w:val="0"/>
                <w:sz w:val="19"/>
              </w:rPr>
              <w:t>Compact named tables and empirical scales</w:t>
            </w:r>
          </w:p>
        </w:tc>
        <w:tc>
          <w:tcPr>
            <w:tcW w:type="dxa" w:w="7427"/>
            <w:vAlign w:val="top"/>
          </w:tcPr>
          <w:p>
            <w:pPr>
              <w:spacing w:before="60" w:after="60"/>
            </w:pPr>
            <w:r>
              <w:rPr>
                <w:rFonts w:ascii="Arial" w:hAnsi="Arial"/>
                <w:b w:val="0"/>
                <w:sz w:val="19"/>
              </w:rPr>
              <w:t>Modified Pettifor/Mendeleev orderings and selected model radii map to D; explicit counts/sums to C; other named tabulated variables to A.</w:t>
            </w:r>
          </w:p>
        </w:tc>
      </w:tr>
      <w:tr>
        <w:trPr>
          <w:cantSplit/>
        </w:trPr>
        <w:tc>
          <w:tcPr>
            <w:tcW w:type="dxa" w:w="2494"/>
            <w:vAlign w:val="top"/>
          </w:tcPr>
          <w:p>
            <w:pPr>
              <w:spacing w:before="60" w:after="60"/>
            </w:pPr>
            <w:r>
              <w:rPr>
                <w:rFonts w:ascii="Arial" w:hAnsi="Arial"/>
                <w:b w:val="0"/>
                <w:sz w:val="19"/>
              </w:rPr>
              <w:t>JARVIS</w:t>
            </w:r>
          </w:p>
        </w:tc>
        <w:tc>
          <w:tcPr>
            <w:tcW w:type="dxa" w:w="7427"/>
            <w:vAlign w:val="top"/>
          </w:tcPr>
          <w:p>
            <w:pPr>
              <w:spacing w:before="60" w:after="60"/>
            </w:pPr>
            <w:r>
              <w:rPr>
                <w:rFonts w:ascii="Arial" w:hAnsi="Arial"/>
                <w:b w:val="0"/>
                <w:sz w:val="19"/>
              </w:rPr>
              <w:t>Arithmetic operators map to E; C-0...C-35 to B; GV, KV, average radius and extrema to C; remaining named entries to A.</w:t>
            </w:r>
          </w:p>
        </w:tc>
      </w:tr>
      <w:tr>
        <w:trPr>
          <w:cantSplit/>
        </w:trPr>
        <w:tc>
          <w:tcPr>
            <w:tcW w:type="dxa" w:w="2494"/>
            <w:vAlign w:val="top"/>
          </w:tcPr>
          <w:p>
            <w:pPr>
              <w:spacing w:before="60" w:after="60"/>
            </w:pPr>
            <w:r>
              <w:rPr>
                <w:rFonts w:ascii="Arial" w:hAnsi="Arial"/>
                <w:b w:val="0"/>
                <w:sz w:val="19"/>
              </w:rPr>
              <w:t>Miedema</w:t>
            </w:r>
          </w:p>
        </w:tc>
        <w:tc>
          <w:tcPr>
            <w:tcW w:type="dxa" w:w="7427"/>
            <w:vAlign w:val="top"/>
          </w:tcPr>
          <w:p>
            <w:pPr>
              <w:spacing w:before="60" w:after="60"/>
            </w:pPr>
            <w:r>
              <w:rPr>
                <w:rFonts w:ascii="Arial" w:hAnsi="Arial"/>
                <w:b w:val="0"/>
                <w:sz w:val="19"/>
              </w:rPr>
              <w:t>Partner-aggregated values map to F; model parameters to D.</w:t>
            </w:r>
          </w:p>
        </w:tc>
      </w:tr>
      <w:tr>
        <w:trPr>
          <w:cantSplit/>
        </w:trPr>
        <w:tc>
          <w:tcPr>
            <w:tcW w:type="dxa" w:w="2494"/>
            <w:vAlign w:val="top"/>
          </w:tcPr>
          <w:p>
            <w:pPr>
              <w:spacing w:before="60" w:after="60"/>
            </w:pPr>
            <w:r>
              <w:rPr>
                <w:rFonts w:ascii="Arial" w:hAnsi="Arial"/>
                <w:b w:val="0"/>
                <w:sz w:val="19"/>
              </w:rPr>
              <w:t>Mendeleev</w:t>
            </w:r>
          </w:p>
        </w:tc>
        <w:tc>
          <w:tcPr>
            <w:tcW w:type="dxa" w:w="7427"/>
            <w:vAlign w:val="top"/>
          </w:tcPr>
          <w:p>
            <w:pPr>
              <w:spacing w:before="60" w:after="60"/>
            </w:pPr>
            <w:r>
              <w:rPr>
                <w:rFonts w:ascii="Arial" w:hAnsi="Arial"/>
                <w:b w:val="0"/>
                <w:sz w:val="19"/>
              </w:rPr>
              <w:t>Named elemental fields usually map to A; contextual/model fields to D; parsed occupancies and aggregations to C; resolved ionization/orbital/energy fields to B. Absolute stage uncertainty is B, but relative or aggregated uncertainty is C.</w:t>
            </w:r>
          </w:p>
        </w:tc>
      </w:tr>
      <w:tr>
        <w:trPr>
          <w:cantSplit/>
        </w:trPr>
        <w:tc>
          <w:tcPr>
            <w:tcW w:type="dxa" w:w="2494"/>
            <w:vAlign w:val="top"/>
          </w:tcPr>
          <w:p>
            <w:pPr>
              <w:spacing w:before="60" w:after="60"/>
            </w:pPr>
            <w:r>
              <w:rPr>
                <w:rFonts w:ascii="Arial" w:hAnsi="Arial"/>
                <w:b w:val="0"/>
                <w:sz w:val="19"/>
              </w:rPr>
              <w:t>NIST, XrayDB, CIAAW</w:t>
            </w:r>
          </w:p>
        </w:tc>
        <w:tc>
          <w:tcPr>
            <w:tcW w:type="dxa" w:w="7427"/>
            <w:vAlign w:val="top"/>
          </w:tcPr>
          <w:p>
            <w:pPr>
              <w:spacing w:before="60" w:after="60"/>
            </w:pPr>
            <w:r>
              <w:rPr>
                <w:rFonts w:ascii="Arial" w:hAnsi="Arial"/>
                <w:b w:val="0"/>
                <w:sz w:val="19"/>
              </w:rPr>
              <w:t>Resolved quantities map to B; declared ratios/orbital summaries to C. CIAAW annotation flags are A, while interval parsing and derived interval variables follow the recorded C convention.</w:t>
            </w:r>
          </w:p>
        </w:tc>
      </w:tr>
      <w:tr>
        <w:trPr>
          <w:cantSplit/>
        </w:trPr>
        <w:tc>
          <w:tcPr>
            <w:tcW w:type="dxa" w:w="2494"/>
            <w:vAlign w:val="top"/>
          </w:tcPr>
          <w:p>
            <w:pPr>
              <w:spacing w:before="60" w:after="60"/>
            </w:pPr>
            <w:r>
              <w:rPr>
                <w:rFonts w:ascii="Arial" w:hAnsi="Arial"/>
                <w:b w:val="0"/>
                <w:sz w:val="19"/>
              </w:rPr>
              <w:t>Deml and Magpie</w:t>
            </w:r>
          </w:p>
        </w:tc>
        <w:tc>
          <w:tcPr>
            <w:tcW w:type="dxa" w:w="7427"/>
            <w:vAlign w:val="top"/>
          </w:tcPr>
          <w:p>
            <w:pPr>
              <w:spacing w:before="60" w:after="60"/>
            </w:pPr>
            <w:r>
              <w:rPr>
                <w:rFonts w:ascii="Arial" w:hAnsi="Arial"/>
                <w:b w:val="0"/>
                <w:sz w:val="19"/>
              </w:rPr>
              <w:t>Charge/stage-resolved variables map to B; set summaries, column-derived counts and logarithms to C; fitted/contextual/model fields to D; other named entries to A.</w:t>
            </w:r>
          </w:p>
        </w:tc>
      </w:tr>
      <w:tr>
        <w:trPr>
          <w:cantSplit/>
        </w:trPr>
        <w:tc>
          <w:tcPr>
            <w:tcW w:type="dxa" w:w="2494"/>
            <w:vAlign w:val="top"/>
          </w:tcPr>
          <w:p>
            <w:pPr>
              <w:spacing w:before="60" w:after="60"/>
            </w:pPr>
            <w:r>
              <w:rPr>
                <w:rFonts w:ascii="Arial" w:hAnsi="Arial"/>
                <w:b w:val="0"/>
                <w:sz w:val="19"/>
              </w:rPr>
              <w:t>Fallbacks</w:t>
            </w:r>
          </w:p>
        </w:tc>
        <w:tc>
          <w:tcPr>
            <w:tcW w:type="dxa" w:w="7427"/>
            <w:vAlign w:val="top"/>
          </w:tcPr>
          <w:p>
            <w:pPr>
              <w:spacing w:before="60" w:after="60"/>
            </w:pPr>
            <w:r>
              <w:rPr>
                <w:rFonts w:ascii="Arial" w:hAnsi="Arial"/>
                <w:b w:val="0"/>
                <w:sz w:val="19"/>
              </w:rPr>
              <w:t>Explicit formula/input dependency -&gt; C; explicit condition -&gt; B; otherwise A. The rule-usage report allows a reader to identify any fallback use.</w:t>
            </w:r>
          </w:p>
        </w:tc>
      </w:tr>
    </w:tbl>
    <w:p>
      <w:pPr>
        <w:widowControl/>
      </w:pPr>
      <w:r>
        <w:rPr>
          <w:i w:val="0"/>
        </w:rPr>
        <w:t>The conventions distinguish how the bank exposes and transforms data. A physically meaningful derived quantity may be Tier C, and a known contextual quantity may be Tier D. The categories are neither a ranking of physical validity nor a prediction-performance ranking. Source-specific choices are visible rather than asserted to be a unique universal taxonomy.</w:t>
      </w:r>
    </w:p>
    <w:p>
      <w:pPr>
        <w:pStyle w:val="Heading1"/>
        <w:widowControl/>
      </w:pPr>
      <w:r>
        <w:rPr>
          <w:i w:val="0"/>
        </w:rPr>
        <w:t>S5. Agreement calculation and exact reproduction</w:t>
      </w:r>
    </w:p>
    <w:p>
      <w:pPr>
        <w:widowControl/>
      </w:pPr>
      <w:r>
        <w:rPr>
          <w:i w:val="0"/>
        </w:rPr>
        <w:t>For initial labels a and audit labels b, p_o is the diagonal sum of their seven-class confusion matrix divided by N. The chance term is p_e = sum_i n_i+ n_+i / N^2. Unweighted kappa is (p_o - p_e)/(1 - p_e). Unknown or missing labels raise an error; there is no resampling and no ordinal weighting. Adopted labels are not substituted for either comparison vector. All 5,200 audit assignments were reproduced exactly.</w:t>
      </w:r>
    </w:p>
    <w:p>
      <w:pPr>
        <w:pStyle w:val="Heading2"/>
        <w:widowControl/>
      </w:pPr>
      <w:r>
        <w:rPr>
          <w:i w:val="0"/>
        </w:rPr>
        <w:t>Table S3. Initial-label versus reproduced-audit confusion counts. Rows are initial classes; columns are audit classes.</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1984"/>
        <w:gridCol w:w="1134"/>
        <w:gridCol w:w="1134"/>
        <w:gridCol w:w="1134"/>
        <w:gridCol w:w="1134"/>
        <w:gridCol w:w="1134"/>
        <w:gridCol w:w="1134"/>
        <w:gridCol w:w="1134"/>
      </w:tblGrid>
      <w:tr>
        <w:trPr>
          <w:cantSplit/>
          <w:tblHeader/>
        </w:trPr>
        <w:tc>
          <w:tcPr>
            <w:tcW w:type="dxa" w:w="1984"/>
            <w:vAlign w:val="top"/>
            <w:shd w:fill="E8EFF5"/>
          </w:tcPr>
          <w:p>
            <w:pPr>
              <w:spacing w:before="60" w:after="60"/>
            </w:pPr>
            <w:r>
              <w:rPr>
                <w:rFonts w:ascii="Arial" w:hAnsi="Arial"/>
                <w:b/>
                <w:sz w:val="19"/>
              </w:rPr>
              <w:t>Initial / audit</w:t>
            </w:r>
          </w:p>
        </w:tc>
        <w:tc>
          <w:tcPr>
            <w:tcW w:type="dxa" w:w="1134"/>
            <w:vAlign w:val="top"/>
            <w:shd w:fill="E8EFF5"/>
          </w:tcPr>
          <w:p>
            <w:pPr>
              <w:spacing w:before="60" w:after="60"/>
            </w:pPr>
            <w:r>
              <w:rPr>
                <w:rFonts w:ascii="Arial" w:hAnsi="Arial"/>
                <w:b/>
                <w:sz w:val="19"/>
              </w:rPr>
              <w:t>A</w:t>
            </w:r>
          </w:p>
        </w:tc>
        <w:tc>
          <w:tcPr>
            <w:tcW w:type="dxa" w:w="1134"/>
            <w:vAlign w:val="top"/>
            <w:shd w:fill="E8EFF5"/>
          </w:tcPr>
          <w:p>
            <w:pPr>
              <w:spacing w:before="60" w:after="60"/>
            </w:pPr>
            <w:r>
              <w:rPr>
                <w:rFonts w:ascii="Arial" w:hAnsi="Arial"/>
                <w:b/>
                <w:sz w:val="19"/>
              </w:rPr>
              <w:t>B</w:t>
            </w:r>
          </w:p>
        </w:tc>
        <w:tc>
          <w:tcPr>
            <w:tcW w:type="dxa" w:w="1134"/>
            <w:vAlign w:val="top"/>
            <w:shd w:fill="E8EFF5"/>
          </w:tcPr>
          <w:p>
            <w:pPr>
              <w:spacing w:before="60" w:after="60"/>
            </w:pPr>
            <w:r>
              <w:rPr>
                <w:rFonts w:ascii="Arial" w:hAnsi="Arial"/>
                <w:b/>
                <w:sz w:val="19"/>
              </w:rPr>
              <w:t>C</w:t>
            </w:r>
          </w:p>
        </w:tc>
        <w:tc>
          <w:tcPr>
            <w:tcW w:type="dxa" w:w="1134"/>
            <w:vAlign w:val="top"/>
            <w:shd w:fill="E8EFF5"/>
          </w:tcPr>
          <w:p>
            <w:pPr>
              <w:spacing w:before="60" w:after="60"/>
            </w:pPr>
            <w:r>
              <w:rPr>
                <w:rFonts w:ascii="Arial" w:hAnsi="Arial"/>
                <w:b/>
                <w:sz w:val="19"/>
              </w:rPr>
              <w:t>D</w:t>
            </w:r>
          </w:p>
        </w:tc>
        <w:tc>
          <w:tcPr>
            <w:tcW w:type="dxa" w:w="1134"/>
            <w:vAlign w:val="top"/>
            <w:shd w:fill="E8EFF5"/>
          </w:tcPr>
          <w:p>
            <w:pPr>
              <w:spacing w:before="60" w:after="60"/>
            </w:pPr>
            <w:r>
              <w:rPr>
                <w:rFonts w:ascii="Arial" w:hAnsi="Arial"/>
                <w:b/>
                <w:sz w:val="19"/>
              </w:rPr>
              <w:t>E</w:t>
            </w:r>
          </w:p>
        </w:tc>
        <w:tc>
          <w:tcPr>
            <w:tcW w:type="dxa" w:w="1134"/>
            <w:vAlign w:val="top"/>
            <w:shd w:fill="E8EFF5"/>
          </w:tcPr>
          <w:p>
            <w:pPr>
              <w:spacing w:before="60" w:after="60"/>
            </w:pPr>
            <w:r>
              <w:rPr>
                <w:rFonts w:ascii="Arial" w:hAnsi="Arial"/>
                <w:b/>
                <w:sz w:val="19"/>
              </w:rPr>
              <w:t>F</w:t>
            </w:r>
          </w:p>
        </w:tc>
        <w:tc>
          <w:tcPr>
            <w:tcW w:type="dxa" w:w="1134"/>
            <w:vAlign w:val="top"/>
            <w:shd w:fill="E8EFF5"/>
          </w:tcPr>
          <w:p>
            <w:pPr>
              <w:spacing w:before="60" w:after="60"/>
            </w:pPr>
            <w:r>
              <w:rPr>
                <w:rFonts w:ascii="Arial" w:hAnsi="Arial"/>
                <w:b/>
                <w:sz w:val="19"/>
              </w:rPr>
              <w:t>G</w:t>
            </w:r>
          </w:p>
        </w:tc>
      </w:tr>
      <w:tr>
        <w:trPr>
          <w:cantSplit/>
        </w:trPr>
        <w:tc>
          <w:tcPr>
            <w:tcW w:type="dxa" w:w="1984"/>
            <w:vAlign w:val="top"/>
          </w:tcPr>
          <w:p>
            <w:pPr>
              <w:spacing w:before="60" w:after="60"/>
            </w:pPr>
            <w:r>
              <w:rPr>
                <w:rFonts w:ascii="Arial" w:hAnsi="Arial"/>
                <w:b w:val="0"/>
                <w:sz w:val="19"/>
              </w:rPr>
              <w:t>A</w:t>
            </w:r>
          </w:p>
        </w:tc>
        <w:tc>
          <w:tcPr>
            <w:tcW w:type="dxa" w:w="1134"/>
            <w:vAlign w:val="top"/>
          </w:tcPr>
          <w:p>
            <w:pPr>
              <w:spacing w:before="60" w:after="60"/>
            </w:pPr>
            <w:r>
              <w:rPr>
                <w:rFonts w:ascii="Arial" w:hAnsi="Arial"/>
                <w:b w:val="0"/>
                <w:sz w:val="19"/>
              </w:rPr>
              <w:t>310</w:t>
            </w:r>
          </w:p>
        </w:tc>
        <w:tc>
          <w:tcPr>
            <w:tcW w:type="dxa" w:w="1134"/>
            <w:vAlign w:val="top"/>
          </w:tcPr>
          <w:p>
            <w:pPr>
              <w:spacing w:before="60" w:after="60"/>
            </w:pPr>
            <w:r>
              <w:rPr>
                <w:rFonts w:ascii="Arial" w:hAnsi="Arial"/>
                <w:b w:val="0"/>
                <w:sz w:val="19"/>
              </w:rPr>
              <w:t>41</w:t>
            </w:r>
          </w:p>
        </w:tc>
        <w:tc>
          <w:tcPr>
            <w:tcW w:type="dxa" w:w="1134"/>
            <w:vAlign w:val="top"/>
          </w:tcPr>
          <w:p>
            <w:pPr>
              <w:spacing w:before="60" w:after="60"/>
            </w:pPr>
            <w:r>
              <w:rPr>
                <w:rFonts w:ascii="Arial" w:hAnsi="Arial"/>
                <w:b w:val="0"/>
                <w:sz w:val="19"/>
              </w:rPr>
              <w:t>28</w:t>
            </w:r>
          </w:p>
        </w:tc>
        <w:tc>
          <w:tcPr>
            <w:tcW w:type="dxa" w:w="1134"/>
            <w:vAlign w:val="top"/>
          </w:tcPr>
          <w:p>
            <w:pPr>
              <w:spacing w:before="60" w:after="60"/>
            </w:pPr>
            <w:r>
              <w:rPr>
                <w:rFonts w:ascii="Arial" w:hAnsi="Arial"/>
                <w:b w:val="0"/>
                <w:sz w:val="19"/>
              </w:rPr>
              <w:t>6</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r>
      <w:tr>
        <w:trPr>
          <w:cantSplit/>
        </w:trPr>
        <w:tc>
          <w:tcPr>
            <w:tcW w:type="dxa" w:w="1984"/>
            <w:vAlign w:val="top"/>
          </w:tcPr>
          <w:p>
            <w:pPr>
              <w:spacing w:before="60" w:after="60"/>
            </w:pPr>
            <w:r>
              <w:rPr>
                <w:rFonts w:ascii="Arial" w:hAnsi="Arial"/>
                <w:b w:val="0"/>
                <w:sz w:val="19"/>
              </w:rPr>
              <w:t>B</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378</w:t>
            </w:r>
          </w:p>
        </w:tc>
        <w:tc>
          <w:tcPr>
            <w:tcW w:type="dxa" w:w="1134"/>
            <w:vAlign w:val="top"/>
          </w:tcPr>
          <w:p>
            <w:pPr>
              <w:spacing w:before="60" w:after="60"/>
            </w:pPr>
            <w:r>
              <w:rPr>
                <w:rFonts w:ascii="Arial" w:hAnsi="Arial"/>
                <w:b w:val="0"/>
                <w:sz w:val="19"/>
              </w:rPr>
              <w:t>44</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r>
      <w:tr>
        <w:trPr>
          <w:cantSplit/>
        </w:trPr>
        <w:tc>
          <w:tcPr>
            <w:tcW w:type="dxa" w:w="1984"/>
            <w:vAlign w:val="top"/>
          </w:tcPr>
          <w:p>
            <w:pPr>
              <w:spacing w:before="60" w:after="60"/>
            </w:pPr>
            <w:r>
              <w:rPr>
                <w:rFonts w:ascii="Arial" w:hAnsi="Arial"/>
                <w:b w:val="0"/>
                <w:sz w:val="19"/>
              </w:rPr>
              <w:t>C</w:t>
            </w:r>
          </w:p>
        </w:tc>
        <w:tc>
          <w:tcPr>
            <w:tcW w:type="dxa" w:w="1134"/>
            <w:vAlign w:val="top"/>
          </w:tcPr>
          <w:p>
            <w:pPr>
              <w:spacing w:before="60" w:after="60"/>
            </w:pPr>
            <w:r>
              <w:rPr>
                <w:rFonts w:ascii="Arial" w:hAnsi="Arial"/>
                <w:b w:val="0"/>
                <w:sz w:val="19"/>
              </w:rPr>
              <w:t>1</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801</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r>
      <w:tr>
        <w:trPr>
          <w:cantSplit/>
        </w:trPr>
        <w:tc>
          <w:tcPr>
            <w:tcW w:type="dxa" w:w="1984"/>
            <w:vAlign w:val="top"/>
          </w:tcPr>
          <w:p>
            <w:pPr>
              <w:spacing w:before="60" w:after="60"/>
            </w:pPr>
            <w:r>
              <w:rPr>
                <w:rFonts w:ascii="Arial" w:hAnsi="Arial"/>
                <w:b w:val="0"/>
                <w:sz w:val="19"/>
              </w:rPr>
              <w:t>D</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61</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r>
      <w:tr>
        <w:trPr>
          <w:cantSplit/>
        </w:trPr>
        <w:tc>
          <w:tcPr>
            <w:tcW w:type="dxa" w:w="1984"/>
            <w:vAlign w:val="top"/>
          </w:tcPr>
          <w:p>
            <w:pPr>
              <w:spacing w:before="60" w:after="60"/>
            </w:pPr>
            <w:r>
              <w:rPr>
                <w:rFonts w:ascii="Arial" w:hAnsi="Arial"/>
                <w:b w:val="0"/>
                <w:sz w:val="19"/>
              </w:rPr>
              <w:t>E</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354</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r>
      <w:tr>
        <w:trPr>
          <w:cantSplit/>
        </w:trPr>
        <w:tc>
          <w:tcPr>
            <w:tcW w:type="dxa" w:w="1984"/>
            <w:vAlign w:val="top"/>
          </w:tcPr>
          <w:p>
            <w:pPr>
              <w:spacing w:before="60" w:after="60"/>
            </w:pPr>
            <w:r>
              <w:rPr>
                <w:rFonts w:ascii="Arial" w:hAnsi="Arial"/>
                <w:b w:val="0"/>
                <w:sz w:val="19"/>
              </w:rPr>
              <w:t>F</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10</w:t>
            </w:r>
          </w:p>
        </w:tc>
        <w:tc>
          <w:tcPr>
            <w:tcW w:type="dxa" w:w="1134"/>
            <w:vAlign w:val="top"/>
          </w:tcPr>
          <w:p>
            <w:pPr>
              <w:spacing w:before="60" w:after="60"/>
            </w:pPr>
            <w:r>
              <w:rPr>
                <w:rFonts w:ascii="Arial" w:hAnsi="Arial"/>
                <w:b w:val="0"/>
                <w:sz w:val="19"/>
              </w:rPr>
              <w:t>0</w:t>
            </w:r>
          </w:p>
        </w:tc>
      </w:tr>
      <w:tr>
        <w:trPr>
          <w:cantSplit/>
        </w:trPr>
        <w:tc>
          <w:tcPr>
            <w:tcW w:type="dxa" w:w="1984"/>
            <w:vAlign w:val="top"/>
          </w:tcPr>
          <w:p>
            <w:pPr>
              <w:spacing w:before="60" w:after="60"/>
            </w:pPr>
            <w:r>
              <w:rPr>
                <w:rFonts w:ascii="Arial" w:hAnsi="Arial"/>
                <w:b w:val="0"/>
                <w:sz w:val="19"/>
              </w:rPr>
              <w:t>G</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0</w:t>
            </w:r>
          </w:p>
        </w:tc>
        <w:tc>
          <w:tcPr>
            <w:tcW w:type="dxa" w:w="1134"/>
            <w:vAlign w:val="top"/>
          </w:tcPr>
          <w:p>
            <w:pPr>
              <w:spacing w:before="60" w:after="60"/>
            </w:pPr>
            <w:r>
              <w:rPr>
                <w:rFonts w:ascii="Arial" w:hAnsi="Arial"/>
                <w:b w:val="0"/>
                <w:sz w:val="19"/>
              </w:rPr>
              <w:t>3166</w:t>
            </w:r>
          </w:p>
        </w:tc>
      </w:tr>
    </w:tbl>
    <w:p>
      <w:pPr>
        <w:pStyle w:val="Heading2"/>
        <w:widowControl/>
      </w:pPr>
      <w:r>
        <w:rPr>
          <w:i w:val="0"/>
        </w:rPr>
        <w:t>Table S4. Recomputed descriptive agreement statistics.</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2551"/>
        <w:gridCol w:w="1134"/>
        <w:gridCol w:w="1701"/>
        <w:gridCol w:w="2268"/>
        <w:gridCol w:w="2268"/>
      </w:tblGrid>
      <w:tr>
        <w:trPr>
          <w:cantSplit/>
          <w:tblHeader/>
        </w:trPr>
        <w:tc>
          <w:tcPr>
            <w:tcW w:type="dxa" w:w="2551"/>
            <w:vAlign w:val="top"/>
            <w:shd w:fill="E8EFF5"/>
          </w:tcPr>
          <w:p>
            <w:pPr>
              <w:spacing w:before="60" w:after="60"/>
            </w:pPr>
            <w:r>
              <w:rPr>
                <w:rFonts w:ascii="Arial" w:hAnsi="Arial"/>
                <w:b/>
                <w:sz w:val="19"/>
              </w:rPr>
              <w:t>Scope</w:t>
            </w:r>
          </w:p>
        </w:tc>
        <w:tc>
          <w:tcPr>
            <w:tcW w:type="dxa" w:w="1134"/>
            <w:vAlign w:val="top"/>
            <w:shd w:fill="E8EFF5"/>
          </w:tcPr>
          <w:p>
            <w:pPr>
              <w:spacing w:before="60" w:after="60"/>
            </w:pPr>
            <w:r>
              <w:rPr>
                <w:rFonts w:ascii="Arial" w:hAnsi="Arial"/>
                <w:b/>
                <w:sz w:val="19"/>
              </w:rPr>
              <w:t>N</w:t>
            </w:r>
          </w:p>
        </w:tc>
        <w:tc>
          <w:tcPr>
            <w:tcW w:type="dxa" w:w="1701"/>
            <w:vAlign w:val="top"/>
            <w:shd w:fill="E8EFF5"/>
          </w:tcPr>
          <w:p>
            <w:pPr>
              <w:spacing w:before="60" w:after="60"/>
            </w:pPr>
            <w:r>
              <w:rPr>
                <w:rFonts w:ascii="Arial" w:hAnsi="Arial"/>
                <w:b/>
                <w:sz w:val="19"/>
              </w:rPr>
              <w:t>Agreements</w:t>
            </w:r>
          </w:p>
        </w:tc>
        <w:tc>
          <w:tcPr>
            <w:tcW w:type="dxa" w:w="2268"/>
            <w:vAlign w:val="top"/>
            <w:shd w:fill="E8EFF5"/>
          </w:tcPr>
          <w:p>
            <w:pPr>
              <w:spacing w:before="60" w:after="60"/>
            </w:pPr>
            <w:r>
              <w:rPr>
                <w:rFonts w:ascii="Arial" w:hAnsi="Arial"/>
                <w:b/>
                <w:sz w:val="19"/>
              </w:rPr>
              <w:t>Agreement (%)</w:t>
            </w:r>
          </w:p>
        </w:tc>
        <w:tc>
          <w:tcPr>
            <w:tcW w:type="dxa" w:w="2268"/>
            <w:vAlign w:val="top"/>
            <w:shd w:fill="E8EFF5"/>
          </w:tcPr>
          <w:p>
            <w:pPr>
              <w:spacing w:before="60" w:after="60"/>
            </w:pPr>
            <w:r>
              <w:rPr>
                <w:rFonts w:ascii="Arial" w:hAnsi="Arial"/>
                <w:b/>
                <w:sz w:val="19"/>
              </w:rPr>
              <w:t>Unweighted kappa</w:t>
            </w:r>
          </w:p>
        </w:tc>
      </w:tr>
      <w:tr>
        <w:trPr>
          <w:cantSplit/>
        </w:trPr>
        <w:tc>
          <w:tcPr>
            <w:tcW w:type="dxa" w:w="2551"/>
            <w:vAlign w:val="top"/>
          </w:tcPr>
          <w:p>
            <w:pPr>
              <w:spacing w:before="60" w:after="60"/>
            </w:pPr>
            <w:r>
              <w:rPr>
                <w:rFonts w:ascii="Arial" w:hAnsi="Arial"/>
                <w:b w:val="0"/>
                <w:sz w:val="19"/>
              </w:rPr>
              <w:t>all_5200</w:t>
            </w:r>
          </w:p>
        </w:tc>
        <w:tc>
          <w:tcPr>
            <w:tcW w:type="dxa" w:w="1134"/>
            <w:vAlign w:val="top"/>
          </w:tcPr>
          <w:p>
            <w:pPr>
              <w:spacing w:before="60" w:after="60"/>
            </w:pPr>
            <w:r>
              <w:rPr>
                <w:rFonts w:ascii="Arial" w:hAnsi="Arial"/>
                <w:b w:val="0"/>
                <w:sz w:val="19"/>
              </w:rPr>
              <w:t>5200</w:t>
            </w:r>
          </w:p>
        </w:tc>
        <w:tc>
          <w:tcPr>
            <w:tcW w:type="dxa" w:w="1701"/>
            <w:vAlign w:val="top"/>
          </w:tcPr>
          <w:p>
            <w:pPr>
              <w:spacing w:before="60" w:after="60"/>
            </w:pPr>
            <w:r>
              <w:rPr>
                <w:rFonts w:ascii="Arial" w:hAnsi="Arial"/>
                <w:b w:val="0"/>
                <w:sz w:val="19"/>
              </w:rPr>
              <w:t>5080</w:t>
            </w:r>
          </w:p>
        </w:tc>
        <w:tc>
          <w:tcPr>
            <w:tcW w:type="dxa" w:w="2268"/>
            <w:vAlign w:val="top"/>
          </w:tcPr>
          <w:p>
            <w:pPr>
              <w:spacing w:before="60" w:after="60"/>
            </w:pPr>
            <w:r>
              <w:rPr>
                <w:rFonts w:ascii="Arial" w:hAnsi="Arial"/>
                <w:b w:val="0"/>
                <w:sz w:val="19"/>
              </w:rPr>
              <w:t>97.6923</w:t>
            </w:r>
          </w:p>
        </w:tc>
        <w:tc>
          <w:tcPr>
            <w:tcW w:type="dxa" w:w="2268"/>
            <w:vAlign w:val="top"/>
          </w:tcPr>
          <w:p>
            <w:pPr>
              <w:spacing w:before="60" w:after="60"/>
            </w:pPr>
            <w:r>
              <w:rPr>
                <w:rFonts w:ascii="Arial" w:hAnsi="Arial"/>
                <w:b w:val="0"/>
                <w:sz w:val="19"/>
              </w:rPr>
              <w:t>0.9607306</w:t>
            </w:r>
          </w:p>
        </w:tc>
      </w:tr>
      <w:tr>
        <w:trPr>
          <w:cantSplit/>
        </w:trPr>
        <w:tc>
          <w:tcPr>
            <w:tcW w:type="dxa" w:w="2551"/>
            <w:vAlign w:val="top"/>
          </w:tcPr>
          <w:p>
            <w:pPr>
              <w:spacing w:before="60" w:after="60"/>
            </w:pPr>
            <w:r>
              <w:rPr>
                <w:rFonts w:ascii="Arial" w:hAnsi="Arial"/>
                <w:b w:val="0"/>
                <w:sz w:val="19"/>
              </w:rPr>
              <w:t>public_1766</w:t>
            </w:r>
          </w:p>
        </w:tc>
        <w:tc>
          <w:tcPr>
            <w:tcW w:type="dxa" w:w="1134"/>
            <w:vAlign w:val="top"/>
          </w:tcPr>
          <w:p>
            <w:pPr>
              <w:spacing w:before="60" w:after="60"/>
            </w:pPr>
            <w:r>
              <w:rPr>
                <w:rFonts w:ascii="Arial" w:hAnsi="Arial"/>
                <w:b w:val="0"/>
                <w:sz w:val="19"/>
              </w:rPr>
              <w:t>1766</w:t>
            </w:r>
          </w:p>
        </w:tc>
        <w:tc>
          <w:tcPr>
            <w:tcW w:type="dxa" w:w="1701"/>
            <w:vAlign w:val="top"/>
          </w:tcPr>
          <w:p>
            <w:pPr>
              <w:spacing w:before="60" w:after="60"/>
            </w:pPr>
            <w:r>
              <w:rPr>
                <w:rFonts w:ascii="Arial" w:hAnsi="Arial"/>
                <w:b w:val="0"/>
                <w:sz w:val="19"/>
              </w:rPr>
              <w:t>1700</w:t>
            </w:r>
          </w:p>
        </w:tc>
        <w:tc>
          <w:tcPr>
            <w:tcW w:type="dxa" w:w="2268"/>
            <w:vAlign w:val="top"/>
          </w:tcPr>
          <w:p>
            <w:pPr>
              <w:spacing w:before="60" w:after="60"/>
            </w:pPr>
            <w:r>
              <w:rPr>
                <w:rFonts w:ascii="Arial" w:hAnsi="Arial"/>
                <w:b w:val="0"/>
                <w:sz w:val="19"/>
              </w:rPr>
              <w:t>96.2627</w:t>
            </w:r>
          </w:p>
        </w:tc>
        <w:tc>
          <w:tcPr>
            <w:tcW w:type="dxa" w:w="2268"/>
            <w:vAlign w:val="top"/>
          </w:tcPr>
          <w:p>
            <w:pPr>
              <w:spacing w:before="60" w:after="60"/>
            </w:pPr>
            <w:r>
              <w:rPr>
                <w:rFonts w:ascii="Arial" w:hAnsi="Arial"/>
                <w:b w:val="0"/>
                <w:sz w:val="19"/>
              </w:rPr>
              <w:t>0.9423904</w:t>
            </w:r>
          </w:p>
        </w:tc>
      </w:tr>
      <w:tr>
        <w:trPr>
          <w:cantSplit/>
        </w:trPr>
        <w:tc>
          <w:tcPr>
            <w:tcW w:type="dxa" w:w="2551"/>
            <w:vAlign w:val="top"/>
          </w:tcPr>
          <w:p>
            <w:pPr>
              <w:spacing w:before="60" w:after="60"/>
            </w:pPr>
            <w:r>
              <w:rPr>
                <w:rFonts w:ascii="Arial" w:hAnsi="Arial"/>
                <w:b w:val="0"/>
                <w:sz w:val="19"/>
              </w:rPr>
              <w:t>excluded_3434</w:t>
            </w:r>
          </w:p>
        </w:tc>
        <w:tc>
          <w:tcPr>
            <w:tcW w:type="dxa" w:w="1134"/>
            <w:vAlign w:val="top"/>
          </w:tcPr>
          <w:p>
            <w:pPr>
              <w:spacing w:before="60" w:after="60"/>
            </w:pPr>
            <w:r>
              <w:rPr>
                <w:rFonts w:ascii="Arial" w:hAnsi="Arial"/>
                <w:b w:val="0"/>
                <w:sz w:val="19"/>
              </w:rPr>
              <w:t>3434</w:t>
            </w:r>
          </w:p>
        </w:tc>
        <w:tc>
          <w:tcPr>
            <w:tcW w:type="dxa" w:w="1701"/>
            <w:vAlign w:val="top"/>
          </w:tcPr>
          <w:p>
            <w:pPr>
              <w:spacing w:before="60" w:after="60"/>
            </w:pPr>
            <w:r>
              <w:rPr>
                <w:rFonts w:ascii="Arial" w:hAnsi="Arial"/>
                <w:b w:val="0"/>
                <w:sz w:val="19"/>
              </w:rPr>
              <w:t>3380</w:t>
            </w:r>
          </w:p>
        </w:tc>
        <w:tc>
          <w:tcPr>
            <w:tcW w:type="dxa" w:w="2268"/>
            <w:vAlign w:val="top"/>
          </w:tcPr>
          <w:p>
            <w:pPr>
              <w:spacing w:before="60" w:after="60"/>
            </w:pPr>
            <w:r>
              <w:rPr>
                <w:rFonts w:ascii="Arial" w:hAnsi="Arial"/>
                <w:b w:val="0"/>
                <w:sz w:val="19"/>
              </w:rPr>
              <w:t>98.4275</w:t>
            </w:r>
          </w:p>
        </w:tc>
        <w:tc>
          <w:tcPr>
            <w:tcW w:type="dxa" w:w="2268"/>
            <w:vAlign w:val="top"/>
          </w:tcPr>
          <w:p>
            <w:pPr>
              <w:spacing w:before="60" w:after="60"/>
            </w:pPr>
            <w:r>
              <w:rPr>
                <w:rFonts w:ascii="Arial" w:hAnsi="Arial"/>
                <w:b w:val="0"/>
                <w:sz w:val="19"/>
              </w:rPr>
              <w:t>0.9703281</w:t>
            </w:r>
          </w:p>
        </w:tc>
      </w:tr>
      <w:tr>
        <w:trPr>
          <w:cantSplit/>
        </w:trPr>
        <w:tc>
          <w:tcPr>
            <w:tcW w:type="dxa" w:w="2551"/>
            <w:vAlign w:val="top"/>
          </w:tcPr>
          <w:p>
            <w:pPr>
              <w:spacing w:before="60" w:after="60"/>
            </w:pPr>
            <w:r>
              <w:rPr>
                <w:rFonts w:ascii="Arial" w:hAnsi="Arial"/>
                <w:b w:val="0"/>
                <w:sz w:val="19"/>
              </w:rPr>
              <w:t>non_G_2034</w:t>
            </w:r>
          </w:p>
        </w:tc>
        <w:tc>
          <w:tcPr>
            <w:tcW w:type="dxa" w:w="1134"/>
            <w:vAlign w:val="top"/>
          </w:tcPr>
          <w:p>
            <w:pPr>
              <w:spacing w:before="60" w:after="60"/>
            </w:pPr>
            <w:r>
              <w:rPr>
                <w:rFonts w:ascii="Arial" w:hAnsi="Arial"/>
                <w:b w:val="0"/>
                <w:sz w:val="19"/>
              </w:rPr>
              <w:t>2034</w:t>
            </w:r>
          </w:p>
        </w:tc>
        <w:tc>
          <w:tcPr>
            <w:tcW w:type="dxa" w:w="1701"/>
            <w:vAlign w:val="top"/>
          </w:tcPr>
          <w:p>
            <w:pPr>
              <w:spacing w:before="60" w:after="60"/>
            </w:pPr>
            <w:r>
              <w:rPr>
                <w:rFonts w:ascii="Arial" w:hAnsi="Arial"/>
                <w:b w:val="0"/>
                <w:sz w:val="19"/>
              </w:rPr>
              <w:t>1914</w:t>
            </w:r>
          </w:p>
        </w:tc>
        <w:tc>
          <w:tcPr>
            <w:tcW w:type="dxa" w:w="2268"/>
            <w:vAlign w:val="top"/>
          </w:tcPr>
          <w:p>
            <w:pPr>
              <w:spacing w:before="60" w:after="60"/>
            </w:pPr>
            <w:r>
              <w:rPr>
                <w:rFonts w:ascii="Arial" w:hAnsi="Arial"/>
                <w:b w:val="0"/>
                <w:sz w:val="19"/>
              </w:rPr>
              <w:t>94.1003</w:t>
            </w:r>
          </w:p>
        </w:tc>
        <w:tc>
          <w:tcPr>
            <w:tcW w:type="dxa" w:w="2268"/>
            <w:vAlign w:val="top"/>
          </w:tcPr>
          <w:p>
            <w:pPr>
              <w:spacing w:before="60" w:after="60"/>
            </w:pPr>
            <w:r>
              <w:rPr>
                <w:rFonts w:ascii="Arial" w:hAnsi="Arial"/>
                <w:b w:val="0"/>
                <w:sz w:val="19"/>
              </w:rPr>
              <w:t>0.9189360</w:t>
            </w:r>
          </w:p>
        </w:tc>
      </w:tr>
    </w:tbl>
    <w:p>
      <w:pPr>
        <w:widowControl/>
      </w:pPr>
      <w:r>
        <w:rPr>
          <w:i w:val="0"/>
        </w:rPr>
        <w:t>In the complete catalogue, p_o = 0.9769230769230769 and p_e = 0.41234312130177514, giving kappa = 0.9607306169408875. Excluding G gives kappa = 0.9189359917155826. The A-C versus D-G binary comparison is also provided in the CSV (kappa = 0.997297284654658 for the full catalogue). Shared block rules and duplicated dimensions make feature columns dependent; no independent-observation confidence interval or accuracy claim is attached to these scores.</w:t>
      </w:r>
    </w:p>
    <w:p>
      <w:pPr>
        <w:widowControl/>
      </w:pPr>
      <w:r>
        <w:rPr>
          <w:i w:val="0"/>
        </w:rPr>
        <w:t>To reproduce from the extracted Supplementary Code and Data S1 directory:</w:t>
      </w:r>
    </w:p>
    <w:p>
      <w:pPr>
        <w:widowControl/>
      </w:pPr>
      <w:r>
        <w:rPr>
          <w:i w:val="0"/>
        </w:rPr>
        <w:t>python scripts/reproduce_tier_audit.py</w:t>
      </w:r>
    </w:p>
    <w:p>
      <w:pPr>
        <w:pStyle w:val="Heading1"/>
        <w:widowControl/>
      </w:pPr>
      <w:r>
        <w:rPr>
          <w:i w:val="0"/>
        </w:rPr>
        <w:t>S6. Composition-descriptor example and tests</w:t>
      </w:r>
    </w:p>
    <w:p>
      <w:pPr>
        <w:widowControl/>
      </w:pPr>
      <w:r>
        <w:rPr>
          <w:i w:val="0"/>
        </w:rPr>
        <w:t>scripts/composition_example.py reads the unchanged interpretable matrix, validates the requested feature names against the supplied metadata, parses the three flat formulae, and calculates weighted means, weighted population standard deviations, minima, maxima and ranges. The atomic fractions are Fe:0.4/O:0.6; Ti:1/3/O:2/3; and Sr:0.2/Ti:0.2/O:0.6. The results are descriptors of composition, not measured compound properties. Population weighting is used without a ddof or finite-sample correction.</w:t>
      </w:r>
    </w:p>
    <w:p>
      <w:pPr>
        <w:pStyle w:val="Heading2"/>
        <w:widowControl/>
      </w:pPr>
      <w:r>
        <w:rPr>
          <w:i w:val="0"/>
        </w:rPr>
        <w:t>Table S5. Selected input values copied from v1.0.1.</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1361"/>
        <w:gridCol w:w="2268"/>
        <w:gridCol w:w="2551"/>
        <w:gridCol w:w="3742"/>
      </w:tblGrid>
      <w:tr>
        <w:trPr>
          <w:cantSplit/>
          <w:tblHeader/>
        </w:trPr>
        <w:tc>
          <w:tcPr>
            <w:tcW w:type="dxa" w:w="1361"/>
            <w:vAlign w:val="top"/>
            <w:shd w:fill="E8EFF5"/>
          </w:tcPr>
          <w:p>
            <w:pPr>
              <w:spacing w:before="60" w:after="60"/>
            </w:pPr>
            <w:r>
              <w:rPr>
                <w:rFonts w:ascii="Arial" w:hAnsi="Arial"/>
                <w:b/>
                <w:sz w:val="19"/>
              </w:rPr>
              <w:t>Element</w:t>
            </w:r>
          </w:p>
        </w:tc>
        <w:tc>
          <w:tcPr>
            <w:tcW w:type="dxa" w:w="2268"/>
            <w:vAlign w:val="top"/>
            <w:shd w:fill="E8EFF5"/>
          </w:tcPr>
          <w:p>
            <w:pPr>
              <w:spacing w:before="60" w:after="60"/>
            </w:pPr>
            <w:r>
              <w:rPr>
                <w:rFonts w:ascii="Arial" w:hAnsi="Arial"/>
                <w:b/>
                <w:sz w:val="19"/>
              </w:rPr>
              <w:t>Atomic number</w:t>
            </w:r>
          </w:p>
        </w:tc>
        <w:tc>
          <w:tcPr>
            <w:tcW w:type="dxa" w:w="2551"/>
            <w:vAlign w:val="top"/>
            <w:shd w:fill="E8EFF5"/>
          </w:tcPr>
          <w:p>
            <w:pPr>
              <w:spacing w:before="60" w:after="60"/>
            </w:pPr>
            <w:r>
              <w:rPr>
                <w:rFonts w:ascii="Arial" w:hAnsi="Arial"/>
                <w:b/>
                <w:sz w:val="19"/>
              </w:rPr>
              <w:t>Pauling scale</w:t>
            </w:r>
          </w:p>
        </w:tc>
        <w:tc>
          <w:tcPr>
            <w:tcW w:type="dxa" w:w="3742"/>
            <w:vAlign w:val="top"/>
            <w:shd w:fill="E8EFF5"/>
          </w:tcPr>
          <w:p>
            <w:pPr>
              <w:spacing w:before="60" w:after="60"/>
            </w:pPr>
            <w:r>
              <w:rPr>
                <w:rFonts w:ascii="Arial" w:hAnsi="Arial"/>
                <w:b/>
                <w:sz w:val="19"/>
              </w:rPr>
              <w:t>First ionization energy (eV)</w:t>
            </w:r>
          </w:p>
        </w:tc>
      </w:tr>
      <w:tr>
        <w:trPr>
          <w:cantSplit/>
        </w:trPr>
        <w:tc>
          <w:tcPr>
            <w:tcW w:type="dxa" w:w="1361"/>
            <w:vAlign w:val="top"/>
          </w:tcPr>
          <w:p>
            <w:pPr>
              <w:spacing w:before="60" w:after="60"/>
            </w:pPr>
            <w:r>
              <w:rPr>
                <w:rFonts w:ascii="Arial" w:hAnsi="Arial"/>
                <w:b w:val="0"/>
                <w:sz w:val="19"/>
              </w:rPr>
              <w:t>Fe</w:t>
            </w:r>
          </w:p>
        </w:tc>
        <w:tc>
          <w:tcPr>
            <w:tcW w:type="dxa" w:w="2268"/>
            <w:vAlign w:val="top"/>
          </w:tcPr>
          <w:p>
            <w:pPr>
              <w:spacing w:before="60" w:after="60"/>
            </w:pPr>
            <w:r>
              <w:rPr>
                <w:rFonts w:ascii="Arial" w:hAnsi="Arial"/>
                <w:b w:val="0"/>
                <w:sz w:val="19"/>
              </w:rPr>
              <w:t>26</w:t>
            </w:r>
          </w:p>
        </w:tc>
        <w:tc>
          <w:tcPr>
            <w:tcW w:type="dxa" w:w="2551"/>
            <w:vAlign w:val="top"/>
          </w:tcPr>
          <w:p>
            <w:pPr>
              <w:spacing w:before="60" w:after="60"/>
            </w:pPr>
            <w:r>
              <w:rPr>
                <w:rFonts w:ascii="Arial" w:hAnsi="Arial"/>
                <w:b w:val="0"/>
                <w:sz w:val="19"/>
              </w:rPr>
              <w:t>1.83</w:t>
            </w:r>
          </w:p>
        </w:tc>
        <w:tc>
          <w:tcPr>
            <w:tcW w:type="dxa" w:w="3742"/>
            <w:vAlign w:val="top"/>
          </w:tcPr>
          <w:p>
            <w:pPr>
              <w:spacing w:before="60" w:after="60"/>
            </w:pPr>
            <w:r>
              <w:rPr>
                <w:rFonts w:ascii="Arial" w:hAnsi="Arial"/>
                <w:b w:val="0"/>
                <w:sz w:val="19"/>
              </w:rPr>
              <w:t>7.9024681</w:t>
            </w:r>
          </w:p>
        </w:tc>
      </w:tr>
      <w:tr>
        <w:trPr>
          <w:cantSplit/>
        </w:trPr>
        <w:tc>
          <w:tcPr>
            <w:tcW w:type="dxa" w:w="1361"/>
            <w:vAlign w:val="top"/>
          </w:tcPr>
          <w:p>
            <w:pPr>
              <w:spacing w:before="60" w:after="60"/>
            </w:pPr>
            <w:r>
              <w:rPr>
                <w:rFonts w:ascii="Arial" w:hAnsi="Arial"/>
                <w:b w:val="0"/>
                <w:sz w:val="19"/>
              </w:rPr>
              <w:t>O</w:t>
            </w:r>
          </w:p>
        </w:tc>
        <w:tc>
          <w:tcPr>
            <w:tcW w:type="dxa" w:w="2268"/>
            <w:vAlign w:val="top"/>
          </w:tcPr>
          <w:p>
            <w:pPr>
              <w:spacing w:before="60" w:after="60"/>
            </w:pPr>
            <w:r>
              <w:rPr>
                <w:rFonts w:ascii="Arial" w:hAnsi="Arial"/>
                <w:b w:val="0"/>
                <w:sz w:val="19"/>
              </w:rPr>
              <w:t>8</w:t>
            </w:r>
          </w:p>
        </w:tc>
        <w:tc>
          <w:tcPr>
            <w:tcW w:type="dxa" w:w="2551"/>
            <w:vAlign w:val="top"/>
          </w:tcPr>
          <w:p>
            <w:pPr>
              <w:spacing w:before="60" w:after="60"/>
            </w:pPr>
            <w:r>
              <w:rPr>
                <w:rFonts w:ascii="Arial" w:hAnsi="Arial"/>
                <w:b w:val="0"/>
                <w:sz w:val="19"/>
              </w:rPr>
              <w:t>3.44</w:t>
            </w:r>
          </w:p>
        </w:tc>
        <w:tc>
          <w:tcPr>
            <w:tcW w:type="dxa" w:w="3742"/>
            <w:vAlign w:val="top"/>
          </w:tcPr>
          <w:p>
            <w:pPr>
              <w:spacing w:before="60" w:after="60"/>
            </w:pPr>
            <w:r>
              <w:rPr>
                <w:rFonts w:ascii="Arial" w:hAnsi="Arial"/>
                <w:b w:val="0"/>
                <w:sz w:val="19"/>
              </w:rPr>
              <w:t>13.618055</w:t>
            </w:r>
          </w:p>
        </w:tc>
      </w:tr>
      <w:tr>
        <w:trPr>
          <w:cantSplit/>
        </w:trPr>
        <w:tc>
          <w:tcPr>
            <w:tcW w:type="dxa" w:w="1361"/>
            <w:vAlign w:val="top"/>
          </w:tcPr>
          <w:p>
            <w:pPr>
              <w:spacing w:before="60" w:after="60"/>
            </w:pPr>
            <w:r>
              <w:rPr>
                <w:rFonts w:ascii="Arial" w:hAnsi="Arial"/>
                <w:b w:val="0"/>
                <w:sz w:val="19"/>
              </w:rPr>
              <w:t>Ti</w:t>
            </w:r>
          </w:p>
        </w:tc>
        <w:tc>
          <w:tcPr>
            <w:tcW w:type="dxa" w:w="2268"/>
            <w:vAlign w:val="top"/>
          </w:tcPr>
          <w:p>
            <w:pPr>
              <w:spacing w:before="60" w:after="60"/>
            </w:pPr>
            <w:r>
              <w:rPr>
                <w:rFonts w:ascii="Arial" w:hAnsi="Arial"/>
                <w:b w:val="0"/>
                <w:sz w:val="19"/>
              </w:rPr>
              <w:t>22</w:t>
            </w:r>
          </w:p>
        </w:tc>
        <w:tc>
          <w:tcPr>
            <w:tcW w:type="dxa" w:w="2551"/>
            <w:vAlign w:val="top"/>
          </w:tcPr>
          <w:p>
            <w:pPr>
              <w:spacing w:before="60" w:after="60"/>
            </w:pPr>
            <w:r>
              <w:rPr>
                <w:rFonts w:ascii="Arial" w:hAnsi="Arial"/>
                <w:b w:val="0"/>
                <w:sz w:val="19"/>
              </w:rPr>
              <w:t>1.54</w:t>
            </w:r>
          </w:p>
        </w:tc>
        <w:tc>
          <w:tcPr>
            <w:tcW w:type="dxa" w:w="3742"/>
            <w:vAlign w:val="top"/>
          </w:tcPr>
          <w:p>
            <w:pPr>
              <w:spacing w:before="60" w:after="60"/>
            </w:pPr>
            <w:r>
              <w:rPr>
                <w:rFonts w:ascii="Arial" w:hAnsi="Arial"/>
                <w:b w:val="0"/>
                <w:sz w:val="19"/>
              </w:rPr>
              <w:t>6.82812</w:t>
            </w:r>
          </w:p>
        </w:tc>
      </w:tr>
      <w:tr>
        <w:trPr>
          <w:cantSplit/>
        </w:trPr>
        <w:tc>
          <w:tcPr>
            <w:tcW w:type="dxa" w:w="1361"/>
            <w:vAlign w:val="top"/>
          </w:tcPr>
          <w:p>
            <w:pPr>
              <w:spacing w:before="60" w:after="60"/>
            </w:pPr>
            <w:r>
              <w:rPr>
                <w:rFonts w:ascii="Arial" w:hAnsi="Arial"/>
                <w:b w:val="0"/>
                <w:sz w:val="19"/>
              </w:rPr>
              <w:t>Sr</w:t>
            </w:r>
          </w:p>
        </w:tc>
        <w:tc>
          <w:tcPr>
            <w:tcW w:type="dxa" w:w="2268"/>
            <w:vAlign w:val="top"/>
          </w:tcPr>
          <w:p>
            <w:pPr>
              <w:spacing w:before="60" w:after="60"/>
            </w:pPr>
            <w:r>
              <w:rPr>
                <w:rFonts w:ascii="Arial" w:hAnsi="Arial"/>
                <w:b w:val="0"/>
                <w:sz w:val="19"/>
              </w:rPr>
              <w:t>38</w:t>
            </w:r>
          </w:p>
        </w:tc>
        <w:tc>
          <w:tcPr>
            <w:tcW w:type="dxa" w:w="2551"/>
            <w:vAlign w:val="top"/>
          </w:tcPr>
          <w:p>
            <w:pPr>
              <w:spacing w:before="60" w:after="60"/>
            </w:pPr>
            <w:r>
              <w:rPr>
                <w:rFonts w:ascii="Arial" w:hAnsi="Arial"/>
                <w:b w:val="0"/>
                <w:sz w:val="19"/>
              </w:rPr>
              <w:t>0.95</w:t>
            </w:r>
          </w:p>
        </w:tc>
        <w:tc>
          <w:tcPr>
            <w:tcW w:type="dxa" w:w="3742"/>
            <w:vAlign w:val="top"/>
          </w:tcPr>
          <w:p>
            <w:pPr>
              <w:spacing w:before="60" w:after="60"/>
            </w:pPr>
            <w:r>
              <w:rPr>
                <w:rFonts w:ascii="Arial" w:hAnsi="Arial"/>
                <w:b w:val="0"/>
                <w:sz w:val="19"/>
              </w:rPr>
              <w:t>5.69486745</w:t>
            </w:r>
          </w:p>
        </w:tc>
      </w:tr>
    </w:tbl>
    <w:p>
      <w:pPr>
        <w:widowControl/>
      </w:pPr>
      <w:r>
        <w:rPr>
          <w:i w:val="0"/>
        </w:rPr>
        <w:t>The full input trace includes feature names, units, source and source version. Nine output rows cover three compositions x three features. If one constituent value is absent, all five descriptor summaries are left blank, while observed atomic-fraction coverage is retained. No observed-only renormalization is used. Eight tests verify this policy, valid zero input, analytical arithmetic, stoichiometric scaling, single-element input, and rejection of unsupported formula syntax. The original CSV files are never modified; the missing-value test uses an in-memory copy.</w:t>
      </w:r>
    </w:p>
    <w:p>
      <w:pPr>
        <w:widowControl/>
      </w:pPr>
      <w:r>
        <w:rPr>
          <w:i w:val="0"/>
        </w:rPr>
        <w:t>python scripts/composition_example.py</w:t>
        <w:br/>
        <w:t>python -m unittest discover -s tests -v</w:t>
      </w:r>
    </w:p>
    <w:p>
      <w:pPr>
        <w:widowControl/>
      </w:pPr>
      <w:r>
        <w:rPr>
          <w:i w:val="0"/>
        </w:rPr>
        <w:t>The parser intentionally rejects parentheses, hydrates, charges and isotopic labels. The example is a transparent usage demonstration, not a general chemistry parser or a property-prediction benchmark. No target values, estimator training, cross-validation or performance-ranking experiments are introduced.</w:t>
      </w:r>
    </w:p>
    <w:p>
      <w:pPr>
        <w:pStyle w:val="Heading1"/>
        <w:widowControl/>
      </w:pPr>
      <w:r>
        <w:rPr>
          <w:i w:val="0"/>
        </w:rPr>
        <w:t>S7. Archived checklist versus revision reporting</w:t>
      </w:r>
    </w:p>
    <w:p>
      <w:pPr>
        <w:widowControl/>
      </w:pPr>
      <w:r>
        <w:rPr>
          <w:i w:val="0"/>
        </w:rPr>
        <w:t>The archived 40-item result file is preserved. Its original counts were 33 PASS, 5 PASS WITH NOTE, 2 DEFERRED and 0 FAIL. The separate reporting addendum does not silently change the acceptance criterion for independent-rater validation.</w:t>
      </w:r>
    </w:p>
    <w:tbl>
      <w:tblPr>
        <w:tblW w:type="auto" w:w="0"/>
        <w:jc w:val="center"/>
        <w:tblLayout w:type="fixed"/>
        <w:tblLook w:firstColumn="1" w:firstRow="1" w:lastColumn="0" w:lastRow="0" w:noHBand="0" w:noVBand="1" w:val="04A0"/>
        <w:tblBorders>
          <w:top w:val="single" w:sz="4" w:color="ACB7C0"/>
          <w:left w:val="single" w:sz="4" w:color="ACB7C0"/>
          <w:bottom w:val="single" w:sz="4" w:color="ACB7C0"/>
          <w:right w:val="single" w:sz="4" w:color="ACB7C0"/>
          <w:insideH w:val="single" w:sz="4" w:color="ACB7C0"/>
          <w:insideV w:val="single" w:sz="4" w:color="ACB7C0"/>
        </w:tblBorders>
      </w:tblPr>
      <w:tblGrid>
        <w:gridCol w:w="1417"/>
        <w:gridCol w:w="1984"/>
        <w:gridCol w:w="6520"/>
      </w:tblGrid>
      <w:tr>
        <w:trPr>
          <w:cantSplit/>
          <w:tblHeader/>
        </w:trPr>
        <w:tc>
          <w:tcPr>
            <w:tcW w:type="dxa" w:w="1417"/>
            <w:vAlign w:val="top"/>
            <w:shd w:fill="E8EFF5"/>
          </w:tcPr>
          <w:p>
            <w:pPr>
              <w:spacing w:before="60" w:after="60"/>
            </w:pPr>
            <w:r>
              <w:rPr>
                <w:rFonts w:ascii="Arial" w:hAnsi="Arial"/>
                <w:b/>
                <w:sz w:val="19"/>
              </w:rPr>
              <w:t>Item</w:t>
            </w:r>
          </w:p>
        </w:tc>
        <w:tc>
          <w:tcPr>
            <w:tcW w:type="dxa" w:w="1984"/>
            <w:vAlign w:val="top"/>
            <w:shd w:fill="E8EFF5"/>
          </w:tcPr>
          <w:p>
            <w:pPr>
              <w:spacing w:before="60" w:after="60"/>
            </w:pPr>
            <w:r>
              <w:rPr>
                <w:rFonts w:ascii="Arial" w:hAnsi="Arial"/>
                <w:b/>
                <w:sz w:val="19"/>
              </w:rPr>
              <w:t>Archived</w:t>
            </w:r>
          </w:p>
        </w:tc>
        <w:tc>
          <w:tcPr>
            <w:tcW w:type="dxa" w:w="6520"/>
            <w:vAlign w:val="top"/>
            <w:shd w:fill="E8EFF5"/>
          </w:tcPr>
          <w:p>
            <w:pPr>
              <w:spacing w:before="60" w:after="60"/>
            </w:pPr>
            <w:r>
              <w:rPr>
                <w:rFonts w:ascii="Arial" w:hAnsi="Arial"/>
                <w:b/>
                <w:sz w:val="19"/>
              </w:rPr>
              <w:t>Revision report and basis</w:t>
            </w:r>
          </w:p>
        </w:tc>
      </w:tr>
      <w:tr>
        <w:trPr>
          <w:cantSplit/>
        </w:trPr>
        <w:tc>
          <w:tcPr>
            <w:tcW w:type="dxa" w:w="1417"/>
            <w:vAlign w:val="top"/>
          </w:tcPr>
          <w:p>
            <w:pPr>
              <w:spacing w:before="60" w:after="60"/>
            </w:pPr>
            <w:r>
              <w:rPr>
                <w:rFonts w:ascii="Arial" w:hAnsi="Arial"/>
                <w:b w:val="0"/>
                <w:sz w:val="19"/>
              </w:rPr>
              <w:t>TV-036</w:t>
            </w:r>
          </w:p>
        </w:tc>
        <w:tc>
          <w:tcPr>
            <w:tcW w:type="dxa" w:w="1984"/>
            <w:vAlign w:val="top"/>
          </w:tcPr>
          <w:p>
            <w:pPr>
              <w:spacing w:before="60" w:after="60"/>
            </w:pPr>
            <w:r>
              <w:rPr>
                <w:rFonts w:ascii="Arial" w:hAnsi="Arial"/>
                <w:b w:val="0"/>
                <w:sz w:val="19"/>
              </w:rPr>
              <w:t>PASS WITH NOTE</w:t>
            </w:r>
          </w:p>
        </w:tc>
        <w:tc>
          <w:tcPr>
            <w:tcW w:type="dxa" w:w="6520"/>
            <w:vAlign w:val="top"/>
          </w:tcPr>
          <w:p>
            <w:pPr>
              <w:spacing w:before="60" w:after="60"/>
            </w:pPr>
            <w:r>
              <w:rPr>
                <w:rFonts w:ascii="Arial" w:hAnsi="Arial"/>
                <w:b w:val="0"/>
                <w:sz w:val="19"/>
              </w:rPr>
              <w:t>DEFERRED. The independent-classification requirement is not met by the related rule-based audit. The descriptive audit is reported separately.</w:t>
            </w:r>
          </w:p>
        </w:tc>
      </w:tr>
      <w:tr>
        <w:trPr>
          <w:cantSplit/>
        </w:trPr>
        <w:tc>
          <w:tcPr>
            <w:tcW w:type="dxa" w:w="1417"/>
            <w:vAlign w:val="top"/>
          </w:tcPr>
          <w:p>
            <w:pPr>
              <w:spacing w:before="60" w:after="60"/>
            </w:pPr>
            <w:r>
              <w:rPr>
                <w:rFonts w:ascii="Arial" w:hAnsi="Arial"/>
                <w:b w:val="0"/>
                <w:sz w:val="19"/>
              </w:rPr>
              <w:t>TV-039</w:t>
            </w:r>
          </w:p>
        </w:tc>
        <w:tc>
          <w:tcPr>
            <w:tcW w:type="dxa" w:w="1984"/>
            <w:vAlign w:val="top"/>
          </w:tcPr>
          <w:p>
            <w:pPr>
              <w:spacing w:before="60" w:after="60"/>
            </w:pPr>
            <w:r>
              <w:rPr>
                <w:rFonts w:ascii="Arial" w:hAnsi="Arial"/>
                <w:b w:val="0"/>
                <w:sz w:val="19"/>
              </w:rPr>
              <w:t>DEFERRED</w:t>
            </w:r>
          </w:p>
        </w:tc>
        <w:tc>
          <w:tcPr>
            <w:tcW w:type="dxa" w:w="6520"/>
            <w:vAlign w:val="top"/>
          </w:tcPr>
          <w:p>
            <w:pPr>
              <w:spacing w:before="60" w:after="60"/>
            </w:pPr>
            <w:r>
              <w:rPr>
                <w:rFonts w:ascii="Arial" w:hAnsi="Arial"/>
                <w:b w:val="0"/>
                <w:sz w:val="19"/>
              </w:rPr>
              <w:t>PASS. Public GitHub summary of run 29991604373 shows push, v1.0.1, commit df598c7 and Status Success. This is deployment-summary verification, not a new CI execution; raw authenticated logs were not downloaded.</w:t>
            </w:r>
          </w:p>
        </w:tc>
      </w:tr>
      <w:tr>
        <w:trPr>
          <w:cantSplit/>
        </w:trPr>
        <w:tc>
          <w:tcPr>
            <w:tcW w:type="dxa" w:w="1417"/>
            <w:vAlign w:val="top"/>
          </w:tcPr>
          <w:p>
            <w:pPr>
              <w:spacing w:before="60" w:after="60"/>
            </w:pPr>
            <w:r>
              <w:rPr>
                <w:rFonts w:ascii="Arial" w:hAnsi="Arial"/>
                <w:b w:val="0"/>
                <w:sz w:val="19"/>
              </w:rPr>
              <w:t>TV-040</w:t>
            </w:r>
          </w:p>
        </w:tc>
        <w:tc>
          <w:tcPr>
            <w:tcW w:type="dxa" w:w="1984"/>
            <w:vAlign w:val="top"/>
          </w:tcPr>
          <w:p>
            <w:pPr>
              <w:spacing w:before="60" w:after="60"/>
            </w:pPr>
            <w:r>
              <w:rPr>
                <w:rFonts w:ascii="Arial" w:hAnsi="Arial"/>
                <w:b w:val="0"/>
                <w:sz w:val="19"/>
              </w:rPr>
              <w:t>DEFERRED</w:t>
            </w:r>
          </w:p>
        </w:tc>
        <w:tc>
          <w:tcPr>
            <w:tcW w:type="dxa" w:w="6520"/>
            <w:vAlign w:val="top"/>
          </w:tcPr>
          <w:p>
            <w:pPr>
              <w:spacing w:before="60" w:after="60"/>
            </w:pPr>
            <w:r>
              <w:rPr>
                <w:rFonts w:ascii="Arial" w:hAnsi="Arial"/>
                <w:b w:val="0"/>
                <w:sz w:val="19"/>
              </w:rPr>
              <w:t>DEFERRED. The local ZIP matches the GitHub-advertised digest, but an independent Zenodo binary retrieval was not established.</w:t>
            </w:r>
          </w:p>
        </w:tc>
      </w:tr>
      <w:tr>
        <w:trPr>
          <w:cantSplit/>
        </w:trPr>
        <w:tc>
          <w:tcPr>
            <w:tcW w:type="dxa" w:w="1417"/>
            <w:vAlign w:val="top"/>
          </w:tcPr>
          <w:p>
            <w:pPr>
              <w:spacing w:before="60" w:after="60"/>
            </w:pPr>
            <w:r>
              <w:rPr>
                <w:rFonts w:ascii="Arial" w:hAnsi="Arial"/>
                <w:b w:val="0"/>
                <w:sz w:val="19"/>
              </w:rPr>
              <w:t>Other 37 items</w:t>
            </w:r>
          </w:p>
        </w:tc>
        <w:tc>
          <w:tcPr>
            <w:tcW w:type="dxa" w:w="1984"/>
            <w:vAlign w:val="top"/>
          </w:tcPr>
          <w:p>
            <w:pPr>
              <w:spacing w:before="60" w:after="60"/>
            </w:pPr>
            <w:r>
              <w:rPr>
                <w:rFonts w:ascii="Arial" w:hAnsi="Arial"/>
                <w:b w:val="0"/>
                <w:sz w:val="19"/>
              </w:rPr>
              <w:t>As archived</w:t>
            </w:r>
          </w:p>
        </w:tc>
        <w:tc>
          <w:tcPr>
            <w:tcW w:type="dxa" w:w="6520"/>
            <w:vAlign w:val="top"/>
          </w:tcPr>
          <w:p>
            <w:pPr>
              <w:spacing w:before="60" w:after="60"/>
            </w:pPr>
            <w:r>
              <w:rPr>
                <w:rFonts w:ascii="Arial" w:hAnsi="Arial"/>
                <w:b w:val="0"/>
                <w:sz w:val="19"/>
              </w:rPr>
              <w:t>Retained as archived; the complete historical source/API validation pipeline was not rerun.</w:t>
            </w:r>
          </w:p>
        </w:tc>
      </w:tr>
    </w:tbl>
    <w:p>
      <w:pPr>
        <w:widowControl/>
      </w:pPr>
      <w:r>
        <w:rPr>
          <w:i w:val="0"/>
        </w:rPr>
        <w:t>The reporting addendum therefore has 34 PASS, 4 PASS WITH NOTE, 2 DEFERRED and 0 FAIL. The unresolved items are independent-rater validation and cross-host archive byte equivalence. Additional revision checks (rule replay, metric recomputation, composition-example tests, plotting labels and local snapshot validation) have separate evidence files and are not retroactively described as new executions of the entire archived suite.</w:t>
      </w:r>
    </w:p>
    <w:p>
      <w:pPr>
        <w:pStyle w:val="Heading1"/>
        <w:widowControl/>
      </w:pPr>
      <w:r>
        <w:rPr>
          <w:i w:val="0"/>
        </w:rPr>
        <w:t>S8. Data access and preservation evidence</w:t>
      </w:r>
    </w:p>
    <w:p>
      <w:pPr>
        <w:widowControl/>
      </w:pPr>
      <w:r>
        <w:rPr>
          <w:i w:val="0"/>
        </w:rPr>
        <w:t>The DOI and direct record are https://doi.org/10.5281/zenodo.21509504 and https://zenodo.org/records/21509504. The named alternative asset is at https://github.com/hkaneko1985/elemental-feature-bank/releases/tag/v1.0.1. On 10 October 2026, the public GitHub asset listing advertised SHA-256 6c2403e88b5c4a8f63cd01d5788f3012bbe077b34c51ccca3886d4d12cde15c3, identical to the supplied local ZIP. This is an advertised-digest comparison, not a new download from both hosts.</w:t>
      </w:r>
    </w:p>
    <w:p>
      <w:pPr>
        <w:widowControl/>
      </w:pPr>
      <w:r>
        <w:rPr>
          <w:i w:val="0"/>
        </w:rPr>
        <w:t>A fresh Zenodo download could not be established in the revision environment. The web reader reported an inaccessible record/file; container requests failed name resolution. These failures do not establish a Zenodo outage, a permissions error, or the cause of the reviewer's timeouts. Accordingly, the response does not assert that the access problem was fixed. The same unchanged public archive is supplied as Supplementary Data S2 for direct editorial-system access.</w:t>
      </w:r>
    </w:p>
    <w:p>
      <w:pPr>
        <w:widowControl/>
      </w:pPr>
      <w:r>
        <w:rPr>
          <w:i w:val="0"/>
        </w:rPr>
        <w:t>Observed public GitHub run: https://github.com/hkaneko1985/elemental-feature-bank/actions/runs/29991604373. Public summary: Status Success; tag v1.0.1; commit df598c7; duration 13 s; artifact validation-evidence-v1.0.1. The source of each observation and the unsuccessful network attempts are recorded under access_evidence/.</w:t>
      </w:r>
    </w:p>
    <w:p>
      <w:pPr>
        <w:pStyle w:val="Heading1"/>
        <w:widowControl/>
      </w:pPr>
      <w:r>
        <w:rPr>
          <w:i w:val="0"/>
        </w:rPr>
        <w:t>S9. Maintenance and revision-file deployment</w:t>
      </w:r>
    </w:p>
    <w:p>
      <w:pPr>
        <w:widowControl/>
      </w:pPr>
      <w:r>
        <w:rPr>
          <w:i w:val="0"/>
        </w:rPr>
        <w:t>The proposed maintenance procedure is event-driven. Error reports and upstream changes are logged in GitHub Issues. An update checks affected source versions, semantics, rights, data/coverage/tier differences and relevant validation tests. It records the changes before a new tagged/archival version is published. There is no claim of automatic currentness or guaranteed indefinite maintenance. An immutable cited release remains interpretable even when development has stopped.</w:t>
      </w:r>
    </w:p>
    <w:p>
      <w:pPr>
        <w:widowControl/>
      </w:pPr>
      <w:r>
        <w:rPr>
          <w:i w:val="0"/>
        </w:rPr>
        <w:t>The new files in Supplementary Code and Data S1 are supplied with this revised submission; no assertion is made that they have already been uploaded to GitHub or Zenodo. They can be published as an additive revision directory or a new version, without rewriting the cited v1.0.1 release. The correction notice explicitly supersedes historical claims of a blinded or independent second-rater assessment while preserving the scientific values and the audit trail.</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6675"/>
        <w:sz w:val="16"/>
      </w:rPr>
      <w:t>Elemental Feature Bank | Supplementary Methods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