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48"/>
          <w:u w:val="single"/>
        </w:rPr>
        <w:t xml:space="preserve">Model Card – North Mini Code 1.0</w:t>
      </w:r>
      <w:r>
        <w:rPr>
          <w:u w:val="single"/>
        </w:rP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Model Summary</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North Mini Code 1.0 is an open-weight, decoder-only Transformer-based Sparse Mixture-of-Experts (MoE) large language model developed by Cohere and Cohere Labs. It is specifically designed for code generation, software engineering, debugging, terminal tasks</w:t>
      </w:r>
      <w:r>
        <w:rPr>
          <w:rFonts w:ascii="Times New Roman" w:hAnsi="Times New Roman" w:eastAsia="Times New Roman" w:cs="Times New Roman"/>
          <w:color w:val="000000"/>
          <w:sz w:val="24"/>
        </w:rPr>
        <w:t xml:space="preserve">, and agentic coding. The model activates only a subset of its parameters during inference, making it computationally efficient while maintaining strong coding performance. It supports a long context length of up to 256K tokens and can generate outputs up </w:t>
      </w:r>
      <w:r>
        <w:rPr>
          <w:rFonts w:ascii="Times New Roman" w:hAnsi="Times New Roman" w:eastAsia="Times New Roman" w:cs="Times New Roman"/>
          <w:color w:val="000000"/>
          <w:sz w:val="24"/>
        </w:rPr>
        <w:t xml:space="preserve">to 64K tokens.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Developer</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Cohere and Cohere Labs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Version</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License</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Apache License 2.0</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Model Type</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Decoder-only Transformer-based Sparse Mixture-of-Experts (MoE) Large Language Model</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Dataset</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North Mini Code 1.0 was trained on a diverse mixture of publicly available and licensed datasets focused on programming and software engineering. The training data includes public source code repositories, programming documentation, software engineering ma</w:t>
      </w:r>
      <w:r>
        <w:rPr>
          <w:rFonts w:ascii="Times New Roman" w:hAnsi="Times New Roman" w:eastAsia="Times New Roman" w:cs="Times New Roman"/>
          <w:color w:val="000000"/>
          <w:sz w:val="24"/>
        </w:rPr>
        <w:t xml:space="preserve">nuals, technical articles, coding problem datasets, instruction-following datasets, agentic coding examples, code completion examples, debugging examples, and human-written coding conversations. After pre-training, the model was further improved using supe</w:t>
      </w:r>
      <w:r>
        <w:rPr>
          <w:rFonts w:ascii="Times New Roman" w:hAnsi="Times New Roman" w:eastAsia="Times New Roman" w:cs="Times New Roman"/>
          <w:color w:val="000000"/>
          <w:sz w:val="24"/>
        </w:rPr>
        <w:t xml:space="preserve">rvised fine-tuning and reinforcement learning to enhance its coding and reasoning capabilities.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Training Methodology</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training consisted of two major stages. The first stage was Supervised Fine-Tuning (SFT), where the model learned instruction following, code generation, code completion, debugging, and software engineering tasks from curated datasets. The second</w:t>
      </w:r>
      <w:r>
        <w:rPr>
          <w:rFonts w:ascii="Times New Roman" w:hAnsi="Times New Roman" w:eastAsia="Times New Roman" w:cs="Times New Roman"/>
          <w:color w:val="000000"/>
          <w:sz w:val="24"/>
        </w:rPr>
        <w:t xml:space="preserve"> stage used Reinforcement Learning with Verifiable Rewards (RLVR), enabling the model to improve reasoning, produce more accurate code, perform better on software engineering benchmarks, and effectively use external tools during agentic coding tasks.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Model Architecture</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North Mini Code 1.0 is based on a decoder-only Transformer architecture with a Sparse Mixture-of-Experts (MoE) design. It contains 30 billion total parameters, while only approximately 3 billion parameters are active for each token during inference. The mo</w:t>
      </w:r>
      <w:r>
        <w:rPr>
          <w:rFonts w:ascii="Times New Roman" w:hAnsi="Times New Roman" w:eastAsia="Times New Roman" w:cs="Times New Roman"/>
          <w:color w:val="000000"/>
          <w:sz w:val="24"/>
        </w:rPr>
        <w:t xml:space="preserve">del includes 128 experts, with 8 experts activated per token. It employs an efficient attention mechanism that alternates sliding-window attention using Rotary Position Embeddings (RoPE) with global attention in a 3:1 ratio. The feed-forward network uses t</w:t>
      </w:r>
      <w:r>
        <w:rPr>
          <w:rFonts w:ascii="Times New Roman" w:hAnsi="Times New Roman" w:eastAsia="Times New Roman" w:cs="Times New Roman"/>
          <w:color w:val="000000"/>
          <w:sz w:val="24"/>
        </w:rPr>
        <w:t xml:space="preserve">he SwiGLU activation function, and expert routing is performed using a sigmoid-based router followed by top-k expert selection. A dense feed-forward layer is also included before the sparse expert layers.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Training Parameters</w:t>
      </w:r>
      <w:r>
        <w:rPr>
          <w:u w:val="single"/>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Parameters: 30 Billion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Parameters: 3 Billion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Architecture: Sparse Mixture-of-Experts (MoE)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Experts: 128</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Experts per Token: 8</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Context Length: 256K Tokens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Output Length: 64K Tokens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Attention Mechanism: Sliding Window Attention + Global Attention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Positional Encoding: Rotary Position Embeddings (RoPE)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Activation Function: SwiGLU</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 Function: Sigmoid Activation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Transformer Type: Decoder-only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Fine-Tuning Method: Supervised Fine-Tuning (SFT)</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Reinforcement Learning Method: Reinforcement Learning with Verifiable Rewards (RLVR)</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Recommended Inference Parameters</w:t>
      </w:r>
      <w:r>
        <w:rPr>
          <w:u w:val="single"/>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Temperature: 1.0</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Top-p: 0.95</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Sampling: Enabled (do_sample=True)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New Tokens: 1024 (or higher depending on the application)</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Input</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accepts text-based inputs, including natural language instructions, programming questions, source code, software engineering tasks, debugging requests, documentation, and JSON-based tool descriptions.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Output</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generates source code, code explanations, debugging suggestions, documentation, shell commands, software engineering solutions, terminal commands, and natural language responses.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Supported Tasks</w:t>
      </w:r>
      <w:r>
        <w:rPr>
          <w:u w:val="single"/>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Generation</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Completion</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Bug Detection and Debugging</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Software Engineering Assistance</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Terminal Command Generation</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 Generation</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Explanation</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 Calling</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Agentic Programming</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Multi-step Reasoning</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Evaluation Results</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North Mini Code demonstrates strong performance on several software engineering benchmarks: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SWE-bench Verified: 67.6</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SWE-bench Pro: 40.2</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TerminalBench 2.0: Competitive Performance</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Hardware Requirements</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exact training hardware has not been officially disclosed by Cohere. However, models of this size are generally trained on distributed clusters of high-performance GPUs such as NVIDIA H100 or NVIDIA A100 GPUs. For local inference, a CUDA-enabled GPU wi</w:t>
      </w:r>
      <w:r>
        <w:rPr>
          <w:rFonts w:ascii="Times New Roman" w:hAnsi="Times New Roman" w:eastAsia="Times New Roman" w:cs="Times New Roman"/>
          <w:color w:val="000000"/>
          <w:sz w:val="24"/>
        </w:rPr>
        <w:t xml:space="preserve">th sufficient VRAM is recommended.</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Software Requirements</w:t>
      </w:r>
      <w:r>
        <w:rPr>
          <w:u w:val="single"/>
        </w:rP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Python</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PyTorch</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Hugging Face Transformers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vLLM (optional)</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CUDA Toolkit (recommended for GPU acceleration)</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Advantages</w:t>
      </w:r>
      <w:r>
        <w:rPr>
          <w:u w:val="single"/>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256K token context window</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Efficient Sparse Mixture-of-Experts architecture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Only 3B active parameters during inference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reasoning capabilities</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Built-in tool calling support</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Open-weight model</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Apache 2.0 licensed</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Limitations</w:t>
      </w:r>
      <w:r>
        <w:rPr>
          <w:u w:val="single"/>
        </w:rP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Optimized primarily for programming and software engineering tasks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Generated code should always be verified before deployment</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high-end GPU hardware for efficient local inference</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 quality depends on prompt clarity and task complexity</w:t>
      </w:r>
      <w:r/>
    </w:p>
    <w:p>
      <w:pPr>
        <w:pStyle w:val="140"/>
        <w:pBdr>
          <w:top w:val="none" w:color="000000" w:sz="4" w:space="0"/>
          <w:left w:val="none" w:color="000000" w:sz="4" w:space="0"/>
          <w:bottom w:val="none" w:color="000000" w:sz="4" w:space="0"/>
          <w:right w:val="none" w:color="000000" w:sz="4" w:space="0"/>
        </w:pBdr>
        <w:spacing/>
        <w:ind w:right="0" w:firstLine="0" w:left="0"/>
        <w:rPr>
          <w:bCs w:val="0"/>
          <w:i w:val="0"/>
          <w:u w:val="single"/>
        </w:rPr>
      </w:pPr>
      <w:r>
        <w:rPr>
          <w:rFonts w:ascii="Times New Roman" w:hAnsi="Times New Roman" w:eastAsia="Times New Roman" w:cs="Times New Roman"/>
          <w:b/>
          <w:i w:val="0"/>
          <w:iCs w:val="0"/>
          <w:color w:val="000000"/>
          <w:sz w:val="36"/>
          <w:u w:val="single"/>
        </w:rPr>
        <w:t xml:space="preserve">Applications</w:t>
      </w:r>
      <w:r>
        <w:rPr>
          <w:i w:val="0"/>
          <w:iCs w:val="0"/>
          <w:u w:val="single"/>
        </w:rP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Coding Assistant</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Software Development</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Intelligent Code Completion</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Review</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Debugging Assistance</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DevOps Automation</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Programming Education</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in Code Generation</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AI-powered Software Engineering Agents</w:t>
      </w:r>
      <w:r/>
    </w:p>
    <w:p>
      <w:pPr>
        <w:pStyle w:val="140"/>
        <w:pBdr>
          <w:top w:val="none" w:color="000000" w:sz="4" w:space="0"/>
          <w:left w:val="none" w:color="000000" w:sz="4" w:space="0"/>
          <w:bottom w:val="none" w:color="000000" w:sz="4" w:space="0"/>
          <w:right w:val="none" w:color="000000" w:sz="4" w:space="0"/>
        </w:pBdr>
        <w:spacing/>
        <w:ind w:right="0" w:firstLine="0" w:left="0"/>
        <w:rPr>
          <w:u w:val="single"/>
        </w:rPr>
      </w:pPr>
      <w:r>
        <w:rPr>
          <w:rFonts w:ascii="Times New Roman" w:hAnsi="Times New Roman" w:eastAsia="Times New Roman" w:cs="Times New Roman"/>
          <w:b/>
          <w:color w:val="000000"/>
          <w:sz w:val="36"/>
          <w:u w:val="single"/>
        </w:rPr>
        <w:t xml:space="preserve">Citation</w:t>
      </w:r>
      <w:r>
        <w:rPr>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Name: North Mini Code 1.0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Developer: Cohere and Cohere Labs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License: Apache License 2.0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Release Year: 2026</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E080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3A2E8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9314F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61320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F541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BF373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8DBCC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B1FCE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2026-06-23T14:48:21Z</dcterms:modified>
</cp:coreProperties>
</file>