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bottom w:val="single" w:color="1F4E79" w:sz="12"/>
        </w:pBdr>
        <w:spacing w:after="200"/>
        <w:jc w:val="center"/>
      </w:pPr>
      <w:r>
        <w:rPr>
          <w:b/>
          <w:bCs/>
          <w:color w:val="1F4E79"/>
          <w:sz w:val="44"/>
          <w:szCs w:val="44"/>
        </w:rPr>
        <w:t xml:space="preserve">日本株 セグメント別スコアリングエンジン</w:t>
      </w:r>
    </w:p>
    <w:p>
      <w:pPr>
        <w:spacing w:after="600"/>
        <w:jc w:val="center"/>
      </w:pPr>
      <w:r>
        <w:rPr>
          <w:b/>
          <w:bCs/>
          <w:color w:val="2E75B6"/>
          <w:sz w:val="36"/>
          <w:szCs w:val="36"/>
        </w:rPr>
        <w:t xml:space="preserve">ロジック設計書</w:t>
      </w:r>
    </w:p>
    <w:p>
      <w:pPr>
        <w:spacing w:after="120"/>
        <w:jc w:val="center"/>
      </w:pPr>
      <w:r>
        <w:rPr>
          <w:color w:val="595959"/>
          <w:sz w:val="24"/>
          <w:szCs w:val="24"/>
        </w:rPr>
        <w:t xml:space="preserve">― プロトタイプ版 (segment_scoring.py) ―</w:t>
      </w:r>
    </w:p>
    <w:p>
      <w:pPr>
        <w:spacing w:before="1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bCs/>
                <w:sz w:val="19"/>
                <w:szCs w:val="19"/>
              </w:rPr>
              <w:t xml:space="preserve">文書名</w:t>
            </w:r>
          </w:p>
        </w:tc>
        <w:tc>
          <w:tcPr>
            <w:tcW w:type="dxa" w:w="69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日本株 セグメント別スコアリングエンジン ロジック設計書</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bCs/>
                <w:sz w:val="19"/>
                <w:szCs w:val="19"/>
              </w:rPr>
              <w:t xml:space="preserve">版数</w:t>
            </w:r>
          </w:p>
        </w:tc>
        <w:tc>
          <w:tcPr>
            <w:tcW w:type="dxa" w:w="6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第 1.0 版（初版）</w:t>
            </w:r>
          </w:p>
        </w:tc>
      </w:tr>
      <w:tr>
        <w:trPr>
          <w:tblHeader w:val="false"/>
        </w:trPr>
        <w:tc>
          <w:tcPr>
            <w:tcW w:type="dxa" w:w="2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bCs/>
                <w:sz w:val="19"/>
                <w:szCs w:val="19"/>
              </w:rPr>
              <w:t xml:space="preserve">作成日</w:t>
            </w:r>
          </w:p>
        </w:tc>
        <w:tc>
          <w:tcPr>
            <w:tcW w:type="dxa" w:w="69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2026年8月2日</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bCs/>
                <w:sz w:val="19"/>
                <w:szCs w:val="19"/>
              </w:rPr>
              <w:t xml:space="preserve">対象モジュール</w:t>
            </w:r>
          </w:p>
        </w:tc>
        <w:tc>
          <w:tcPr>
            <w:tcW w:type="dxa" w:w="6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segment_scoring.py</w:t>
            </w:r>
          </w:p>
        </w:tc>
      </w:tr>
      <w:tr>
        <w:trPr>
          <w:tblHeader w:val="false"/>
        </w:trPr>
        <w:tc>
          <w:tcPr>
            <w:tcW w:type="dxa" w:w="2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bCs/>
                <w:sz w:val="19"/>
                <w:szCs w:val="19"/>
              </w:rPr>
              <w:t xml:space="preserve">分類</w:t>
            </w:r>
          </w:p>
        </w:tc>
        <w:tc>
          <w:tcPr>
            <w:tcW w:type="dxa" w:w="69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内部検証用プロトタイプ設計書</w:t>
            </w:r>
          </w:p>
        </w:tc>
      </w:tr>
    </w:tbl>
    <w:p>
      <w:r>
        <w:br w:type="page"/>
      </w:r>
    </w:p>
    <w:p>
      <w:pPr>
        <w:pStyle w:val="Heading1"/>
      </w:pPr>
      <w: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概要</w:t>
      </w:r>
    </w:p>
    <w:p>
      <w:pPr>
        <w:spacing w:after="120" w:line="288"/>
      </w:pPr>
      <w:r>
        <w:rPr>
          <w:sz w:val="21"/>
          <w:szCs w:val="21"/>
        </w:rPr>
        <w:t xml:space="preserve">本設計書は、日本株市場を規模別セグメントに分類し、各銘柄を11項目・100点満点で評価する「セグメント別スコアリングエンジン（segment_scoring.py）」のロジックを記述したものである。</w:t>
      </w:r>
    </w:p>
    <w:p>
      <w:pPr>
        <w:spacing w:after="120" w:line="288"/>
      </w:pPr>
      <w:r>
        <w:rPr>
          <w:sz w:val="21"/>
          <w:szCs w:val="21"/>
        </w:rPr>
        <w:t xml:space="preserve">本エンジンは、約400銘柄を採点し、①</w:t>
      </w:r>
      <w:r>
        <w:rPr>
          <w:b/>
          <w:bCs/>
          <w:sz w:val="21"/>
          <w:szCs w:val="21"/>
        </w:rPr>
        <w:t xml:space="preserve">セグメント自体の強弱</w:t>
      </w:r>
      <w:r>
        <w:rPr>
          <w:sz w:val="21"/>
          <w:szCs w:val="21"/>
        </w:rPr>
        <w:t xml:space="preserve">（どこに資金が向かっているか）と、②</w:t>
      </w:r>
      <w:r>
        <w:rPr>
          <w:b/>
          <w:bCs/>
          <w:sz w:val="21"/>
          <w:szCs w:val="21"/>
        </w:rPr>
        <w:t xml:space="preserve">各セグメントの代表上位銘柄ランキング</w:t>
      </w:r>
      <w:r>
        <w:rPr>
          <w:sz w:val="21"/>
          <w:szCs w:val="21"/>
        </w:rPr>
        <w:t xml:space="preserve">を出力する。短期売買シグナルエンジン（signal_engine.py）と組み合わせ、「市場俯瞰 → 銘柄選別 → 売買タイミング」の2段階判断を支援する。</w:t>
      </w:r>
    </w:p>
    <w:p>
      <w:pPr>
        <w:pStyle w:val="Heading2"/>
      </w:pPr>
      <w:r>
        <w:t xml:space="preserve">1.1 目的</w:t>
      </w:r>
    </w:p>
    <w:p>
      <w:pPr>
        <w:pStyle w:val="ListParagraph"/>
        <w:numPr>
          <w:ilvl w:val="0"/>
          <w:numId w:val="2"/>
        </w:numPr>
        <w:spacing w:after="60" w:line="276"/>
      </w:pPr>
      <w:r>
        <w:rPr>
          <w:b/>
          <w:bCs/>
          <w:sz w:val="21"/>
          <w:szCs w:val="21"/>
        </w:rPr>
        <w:t xml:space="preserve">市場全体の流れ</w:t>
      </w:r>
      <w:r>
        <w:rPr>
          <w:sz w:val="21"/>
          <w:szCs w:val="21"/>
        </w:rPr>
        <w:t xml:space="preserve">を規模別セグメントの強弱として把握する。</w:t>
      </w:r>
    </w:p>
    <w:p>
      <w:pPr>
        <w:pStyle w:val="ListParagraph"/>
        <w:numPr>
          <w:ilvl w:val="0"/>
          <w:numId w:val="2"/>
        </w:numPr>
        <w:spacing w:after="60" w:line="276"/>
      </w:pPr>
      <w:r>
        <w:rPr>
          <w:b/>
          <w:bCs/>
          <w:sz w:val="21"/>
          <w:szCs w:val="21"/>
        </w:rPr>
        <w:t xml:space="preserve">ファンダメンタルズ＋バリュエーション＋テクニカル</w:t>
      </w:r>
      <w:r>
        <w:rPr>
          <w:sz w:val="21"/>
          <w:szCs w:val="21"/>
        </w:rPr>
        <w:t xml:space="preserve">を統合した100点スコアで銘柄を横比較する。</w:t>
      </w:r>
    </w:p>
    <w:p>
      <w:pPr>
        <w:pStyle w:val="ListParagraph"/>
        <w:numPr>
          <w:ilvl w:val="0"/>
          <w:numId w:val="2"/>
        </w:numPr>
        <w:spacing w:after="60" w:line="276"/>
      </w:pPr>
      <w:r>
        <w:rPr>
          <w:sz w:val="21"/>
          <w:szCs w:val="21"/>
        </w:rPr>
        <w:t xml:space="preserve">各セグメントの</w:t>
      </w:r>
      <w:r>
        <w:rPr>
          <w:b/>
          <w:bCs/>
          <w:sz w:val="21"/>
          <w:szCs w:val="21"/>
        </w:rPr>
        <w:t xml:space="preserve">代表上位銘柄</w:t>
      </w:r>
      <w:r>
        <w:rPr>
          <w:sz w:val="21"/>
          <w:szCs w:val="21"/>
        </w:rPr>
        <w:t xml:space="preserve">を抽出し、短期シグナルエンジンの入力候補とする。</w:t>
      </w:r>
    </w:p>
    <w:p>
      <w:pPr>
        <w:pStyle w:val="Heading2"/>
      </w:pPr>
      <w:r>
        <w:t xml:space="preserve">1.2 対象ユニバース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セグメント</w:t>
            </w:r>
          </w:p>
        </w:tc>
        <w:tc>
          <w:tcPr>
            <w:tcW w:type="dxa" w:w="20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銘柄数</w:t>
            </w:r>
          </w:p>
        </w:tc>
        <w:tc>
          <w:tcPr>
            <w:tcW w:type="dxa" w:w="47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性格</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大型株</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約150社</w:t>
            </w:r>
          </w:p>
        </w:tc>
        <w:tc>
          <w:tcPr>
            <w:tcW w:type="dxa" w:w="4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市場代表・指数連動性が高い</w:t>
            </w:r>
          </w:p>
        </w:tc>
      </w:tr>
      <w:tr>
        <w:trPr>
          <w:tblHeader w:val="false"/>
        </w:trPr>
        <w:tc>
          <w:tcPr>
            <w:tcW w:type="dxa" w:w="26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中型株</w:t>
            </w:r>
          </w:p>
        </w:tc>
        <w:tc>
          <w:tcPr>
            <w:tcW w:type="dxa" w:w="2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約150社</w:t>
            </w:r>
          </w:p>
        </w:tc>
        <w:tc>
          <w:tcPr>
            <w:tcW w:type="dxa" w:w="47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成長と安定のバランス</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小型成長株</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約100社</w:t>
            </w:r>
          </w:p>
        </w:tc>
        <w:tc>
          <w:tcPr>
            <w:tcW w:type="dxa" w:w="4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高成長・高ボラティリティ</w:t>
            </w:r>
          </w:p>
        </w:tc>
      </w:tr>
      <w:tr>
        <w:trPr>
          <w:tblHeader w:val="false"/>
        </w:trPr>
        <w:tc>
          <w:tcPr>
            <w:tcW w:type="dxa" w:w="26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bCs/>
                <w:sz w:val="19"/>
                <w:szCs w:val="19"/>
              </w:rPr>
              <w:t xml:space="preserve">合計</w:t>
            </w:r>
          </w:p>
        </w:tc>
        <w:tc>
          <w:tcPr>
            <w:tcW w:type="dxa" w:w="2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bCs/>
                <w:sz w:val="19"/>
                <w:szCs w:val="19"/>
              </w:rPr>
              <w:t xml:space="preserve">約400社</w:t>
            </w:r>
          </w:p>
        </w:tc>
        <w:tc>
          <w:tcPr>
            <w:tcW w:type="dxa" w:w="47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bCs/>
                <w:sz w:val="19"/>
                <w:szCs w:val="19"/>
              </w:rPr>
              <w:t xml:space="preserve">市場全体の流れを俯瞰</w:t>
            </w:r>
          </w:p>
        </w:tc>
      </w:tr>
    </w:tbl>
    <w:p>
      <w:pPr>
        <w:pStyle w:val="Heading2"/>
      </w:pPr>
      <w:r>
        <w:t xml:space="preserve">1.3 位置づけ（2エンジンの役割分担）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観点</w:t>
            </w:r>
          </w:p>
        </w:tc>
        <w:tc>
          <w:tcPr>
            <w:tcW w:type="dxa" w:w="40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本エンジン（セグメント評価）</w:t>
            </w:r>
          </w:p>
        </w:tc>
        <w:tc>
          <w:tcPr>
            <w:tcW w:type="dxa" w:w="35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短期シグナルエンジン</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時間軸</w:t>
            </w:r>
          </w:p>
        </w:tc>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数週間～数ヶ月</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数日～数週間</w:t>
            </w:r>
          </w:p>
        </w:tc>
      </w:tr>
      <w:tr>
        <w:trPr>
          <w:tblHeader w:val="false"/>
        </w:trPr>
        <w:tc>
          <w:tcPr>
            <w:tcW w:type="dxa" w:w="18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主眼</w:t>
            </w:r>
          </w:p>
        </w:tc>
        <w:tc>
          <w:tcPr>
            <w:tcW w:type="dxa" w:w="4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ファンダ＋バリュエーション（70点）</w:t>
            </w:r>
          </w:p>
        </w:tc>
        <w:tc>
          <w:tcPr>
            <w:tcW w:type="dxa" w:w="35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テクニカル・需給</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役割</w:t>
            </w:r>
          </w:p>
        </w:tc>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強いセグメント・銘柄の選別</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売買タイミングの判定</w:t>
            </w:r>
          </w:p>
        </w:tc>
      </w:tr>
    </w:tbl>
    <w:p>
      <w:pPr>
        <w:spacing w:after="80"/>
      </w:pPr>
      <w:r>
        <w:t xml:space="preserve"/>
      </w:r>
    </w:p>
    <w:p>
      <w:pPr>
        <w:pBdr>
          <w:top w:val="single" w:color="BFBFBF" w:sz="4"/>
          <w:left w:val="single" w:color="E8A33D" w:sz="18"/>
          <w:bottom w:val="single" w:color="BFBFBF" w:sz="4"/>
          <w:right w:val="single" w:color="BFBFBF" w:sz="4"/>
        </w:pBdr>
        <w:shd w:fill="FFF4E5" w:val="clear"/>
        <w:spacing w:after="60" w:before="60" w:line="276"/>
        <w:ind w:left="140"/>
      </w:pPr>
      <w:r>
        <w:rPr>
          <w:b/>
          <w:bCs/>
          <w:color w:val="E8A33D"/>
          <w:sz w:val="20"/>
          <w:szCs w:val="20"/>
        </w:rPr>
        <w:t xml:space="preserve">【重要】 </w:t>
      </w:r>
      <w:r>
        <w:rPr>
          <w:sz w:val="20"/>
          <w:szCs w:val="20"/>
        </w:rPr>
        <w:t xml:space="preserve">本エンジンの正規化しきい値（PER8倍で満点、ROE20%で満点等）は経験則に基づく初期値である。実データの分布に合わせた調整（キャリブレーション）を前提とすること。</w:t>
      </w:r>
    </w:p>
    <w:p>
      <w:r>
        <w:br w:type="page"/>
      </w:r>
    </w:p>
    <w:p>
      <w:pPr>
        <w:pStyle w:val="Heading1"/>
      </w:pPr>
      <w:r>
        <w:t xml:space="preserve">2. システム構成・処理フロー</w:t>
      </w:r>
    </w:p>
    <w:p>
      <w:pPr>
        <w:pStyle w:val="Heading2"/>
      </w:pPr>
      <w:r>
        <w:t xml:space="preserve">2.1 モジュール構成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960"/>
      </w:tblGrid>
      <w:tr>
        <w:trPr>
          <w:tblHeader/>
        </w:trPr>
        <w:tc>
          <w:tcPr>
            <w:tcW w:type="dxa" w:w="19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ブロック</w:t>
            </w:r>
          </w:p>
        </w:tc>
        <w:tc>
          <w:tcPr>
            <w:tcW w:type="dxa" w:w="25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主な関数</w:t>
            </w:r>
          </w:p>
        </w:tc>
        <w:tc>
          <w:tcPr>
            <w:tcW w:type="dxa" w:w="49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役割</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① 指標正規化</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score_metrics</w:t>
            </w:r>
          </w:p>
        </w:tc>
        <w:tc>
          <w:tcPr>
            <w:tcW w:type="dxa" w:w="4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11指標を0～1の評価スコアへ正規化</w:t>
            </w:r>
          </w:p>
        </w:tc>
      </w:tr>
      <w:tr>
        <w:trPr>
          <w:tblHeader w:val="false"/>
        </w:trPr>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② 総合採点</w:t>
            </w:r>
          </w:p>
        </w:tc>
        <w:tc>
          <w:tcPr>
            <w:tcW w:type="dxa" w:w="25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total_score</w:t>
            </w:r>
          </w:p>
        </w:tc>
        <w:tc>
          <w:tcPr>
            <w:tcW w:type="dxa" w:w="49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重み付け合計→100点（任意項目は比例配分）</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③ セグメント強弱</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segment_strength</w:t>
            </w:r>
          </w:p>
        </w:tc>
        <w:tc>
          <w:tcPr>
            <w:tcW w:type="dxa" w:w="4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代表銘柄を集約し偏差値化</w:t>
            </w:r>
          </w:p>
        </w:tc>
      </w:tr>
      <w:tr>
        <w:trPr>
          <w:tblHeader w:val="false"/>
        </w:trPr>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④ ランキング</w:t>
            </w:r>
          </w:p>
        </w:tc>
        <w:tc>
          <w:tcPr>
            <w:tcW w:type="dxa" w:w="25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top_n_per_segment</w:t>
            </w:r>
          </w:p>
        </w:tc>
        <w:tc>
          <w:tcPr>
            <w:tcW w:type="dxa" w:w="49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各セグメント上位n社を抽出</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⑤ デモデータ生成</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make_demo_universe</w:t>
            </w:r>
          </w:p>
        </w:tc>
        <w:tc>
          <w:tcPr>
            <w:tcW w:type="dxa" w:w="4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擬似400銘柄を生成（実データで置換）</w:t>
            </w:r>
          </w:p>
        </w:tc>
      </w:tr>
    </w:tbl>
    <w:p>
      <w:pPr>
        <w:pStyle w:val="Heading2"/>
      </w:pPr>
      <w:r>
        <w:t xml:space="preserve">2.2 処理フロー</w:t>
      </w:r>
    </w:p>
    <w:p>
      <w:pPr>
        <w:pBdr>
          <w:top w:val="single" w:color="D0D0D0" w:sz="4"/>
          <w:left w:val="single" w:color="2E75B6" w:sz="12"/>
          <w:bottom w:val="single" w:color="D0D0D0" w:sz="4"/>
          <w:right w:val="single" w:color="D0D0D0" w:sz="4"/>
        </w:pBdr>
        <w:shd w:fill="F5F5F5" w:val="clear"/>
        <w:spacing w:after="120" w:before="80" w:line="264"/>
        <w:ind w:left="120"/>
      </w:pPr>
      <w:r>
        <w:rPr>
          <w:rFonts w:ascii="Consolas" w:cs="Consolas" w:eastAsia="Consolas" w:hAnsi="Consolas"/>
          <w:color w:val="333333"/>
          <w:sz w:val="18"/>
          <w:szCs w:val="18"/>
        </w:rPr>
        <w:t xml:space="preserve">┌────────────────────────────────────────┐</w:t>
      </w:r>
      <w:r>
        <w:br/>
      </w:r>
      <w:r>
        <w:rPr>
          <w:rFonts w:ascii="Consolas" w:cs="Consolas" w:eastAsia="Consolas" w:hAnsi="Consolas"/>
          <w:color w:val="333333"/>
          <w:sz w:val="18"/>
          <w:szCs w:val="18"/>
        </w:rPr>
        <w:t xml:space="preserve">│ ① データ取得  load_universe() ※実装対象      │</w:t>
      </w:r>
      <w:r>
        <w:br/>
      </w:r>
      <w:r>
        <w:rPr>
          <w:rFonts w:ascii="Consolas" w:cs="Consolas" w:eastAsia="Consolas" w:hAnsi="Consolas"/>
          <w:color w:val="333333"/>
          <w:sz w:val="18"/>
          <w:szCs w:val="18"/>
        </w:rPr>
        <w:t xml:space="preserve">│    約400銘柄の財務・株価・テクニカル指標       │</w:t>
      </w:r>
      <w:r>
        <w:br/>
      </w:r>
      <w:r>
        <w:rPr>
          <w:rFonts w:ascii="Consolas" w:cs="Consolas" w:eastAsia="Consolas" w:hAnsi="Consolas"/>
          <w:color w:val="333333"/>
          <w:sz w:val="18"/>
          <w:szCs w:val="18"/>
        </w:rPr>
        <w:t xml:space="preserve">└──────────────┬─────────────────────────┘</w:t>
      </w:r>
      <w:r>
        <w:br/>
      </w:r>
      <w:r>
        <w:rPr>
          <w:rFonts w:ascii="Consolas" w:cs="Consolas" w:eastAsia="Consolas" w:hAnsi="Consolas"/>
          <w:color w:val="333333"/>
          <w:sz w:val="18"/>
          <w:szCs w:val="18"/>
        </w:rPr>
        <w:t xml:space="preserve">               ▼</w:t>
      </w:r>
      <w:r>
        <w:br/>
      </w:r>
      <w:r>
        <w:rPr>
          <w:rFonts w:ascii="Consolas" w:cs="Consolas" w:eastAsia="Consolas" w:hAnsi="Consolas"/>
          <w:color w:val="333333"/>
          <w:sz w:val="18"/>
          <w:szCs w:val="18"/>
        </w:rPr>
        <w:t xml:space="preserve">┌────────────────────────────────────────┐</w:t>
      </w:r>
      <w:r>
        <w:br/>
      </w:r>
      <w:r>
        <w:rPr>
          <w:rFonts w:ascii="Consolas" w:cs="Consolas" w:eastAsia="Consolas" w:hAnsi="Consolas"/>
          <w:color w:val="333333"/>
          <w:sz w:val="18"/>
          <w:szCs w:val="18"/>
        </w:rPr>
        <w:t xml:space="preserve">│ ② 正規化  score_metrics(df)                 │</w:t>
      </w:r>
      <w:r>
        <w:br/>
      </w:r>
      <w:r>
        <w:rPr>
          <w:rFonts w:ascii="Consolas" w:cs="Consolas" w:eastAsia="Consolas" w:hAnsi="Consolas"/>
          <w:color w:val="333333"/>
          <w:sz w:val="18"/>
          <w:szCs w:val="18"/>
        </w:rPr>
        <w:t xml:space="preserve">│    11項目を 0～1 に変換                       │</w:t>
      </w:r>
      <w:r>
        <w:br/>
      </w:r>
      <w:r>
        <w:rPr>
          <w:rFonts w:ascii="Consolas" w:cs="Consolas" w:eastAsia="Consolas" w:hAnsi="Consolas"/>
          <w:color w:val="333333"/>
          <w:sz w:val="18"/>
          <w:szCs w:val="18"/>
        </w:rPr>
        <w:t xml:space="preserve">└──────────────┬─────────────────────────┘</w:t>
      </w:r>
      <w:r>
        <w:br/>
      </w:r>
      <w:r>
        <w:rPr>
          <w:rFonts w:ascii="Consolas" w:cs="Consolas" w:eastAsia="Consolas" w:hAnsi="Consolas"/>
          <w:color w:val="333333"/>
          <w:sz w:val="18"/>
          <w:szCs w:val="18"/>
        </w:rPr>
        <w:t xml:space="preserve">               ▼</w:t>
      </w:r>
      <w:r>
        <w:br/>
      </w:r>
      <w:r>
        <w:rPr>
          <w:rFonts w:ascii="Consolas" w:cs="Consolas" w:eastAsia="Consolas" w:hAnsi="Consolas"/>
          <w:color w:val="333333"/>
          <w:sz w:val="18"/>
          <w:szCs w:val="18"/>
        </w:rPr>
        <w:t xml:space="preserve">┌────────────────────────────────────────┐</w:t>
      </w:r>
      <w:r>
        <w:br/>
      </w:r>
      <w:r>
        <w:rPr>
          <w:rFonts w:ascii="Consolas" w:cs="Consolas" w:eastAsia="Consolas" w:hAnsi="Consolas"/>
          <w:color w:val="333333"/>
          <w:sz w:val="18"/>
          <w:szCs w:val="18"/>
        </w:rPr>
        <w:t xml:space="preserve">│ ③ 総合採点  total_score(df)                 │</w:t>
      </w:r>
      <w:r>
        <w:br/>
      </w:r>
      <w:r>
        <w:rPr>
          <w:rFonts w:ascii="Consolas" w:cs="Consolas" w:eastAsia="Consolas" w:hAnsi="Consolas"/>
          <w:color w:val="333333"/>
          <w:sz w:val="18"/>
          <w:szCs w:val="18"/>
        </w:rPr>
        <w:t xml:space="preserve">│    重み付け合計 → 100点満点                   │</w:t>
      </w:r>
      <w:r>
        <w:br/>
      </w:r>
      <w:r>
        <w:rPr>
          <w:rFonts w:ascii="Consolas" w:cs="Consolas" w:eastAsia="Consolas" w:hAnsi="Consolas"/>
          <w:color w:val="333333"/>
          <w:sz w:val="18"/>
          <w:szCs w:val="18"/>
        </w:rPr>
        <w:t xml:space="preserve">└──────────────┬─────────────────────────┘</w:t>
      </w:r>
      <w:r>
        <w:br/>
      </w:r>
      <w:r>
        <w:rPr>
          <w:rFonts w:ascii="Consolas" w:cs="Consolas" w:eastAsia="Consolas" w:hAnsi="Consolas"/>
          <w:color w:val="333333"/>
          <w:sz w:val="18"/>
          <w:szCs w:val="18"/>
        </w:rPr>
        <w:t xml:space="preserve">               ▼</w:t>
      </w:r>
      <w:r>
        <w:br/>
      </w:r>
      <w:r>
        <w:rPr>
          <w:rFonts w:ascii="Consolas" w:cs="Consolas" w:eastAsia="Consolas" w:hAnsi="Consolas"/>
          <w:color w:val="333333"/>
          <w:sz w:val="18"/>
          <w:szCs w:val="18"/>
        </w:rPr>
        <w:t xml:space="preserve">┌───────────────┬────────────────────────┐</w:t>
      </w:r>
      <w:r>
        <w:br/>
      </w:r>
      <w:r>
        <w:rPr>
          <w:rFonts w:ascii="Consolas" w:cs="Consolas" w:eastAsia="Consolas" w:hAnsi="Consolas"/>
          <w:color w:val="333333"/>
          <w:sz w:val="18"/>
          <w:szCs w:val="18"/>
        </w:rPr>
        <w:t xml:space="preserve">│ ④ segment_strength │ ⑤ top_n_per_segment    │</w:t>
      </w:r>
      <w:r>
        <w:br/>
      </w:r>
      <w:r>
        <w:rPr>
          <w:rFonts w:ascii="Consolas" w:cs="Consolas" w:eastAsia="Consolas" w:hAnsi="Consolas"/>
          <w:color w:val="333333"/>
          <w:sz w:val="18"/>
          <w:szCs w:val="18"/>
        </w:rPr>
        <w:t xml:space="preserve">│   セグメント強弱     │   代表10社ランキング      │</w:t>
      </w:r>
      <w:r>
        <w:br/>
      </w:r>
      <w:r>
        <w:rPr>
          <w:rFonts w:ascii="Consolas" w:cs="Consolas" w:eastAsia="Consolas" w:hAnsi="Consolas"/>
          <w:color w:val="333333"/>
          <w:sz w:val="18"/>
          <w:szCs w:val="18"/>
        </w:rPr>
        <w:t xml:space="preserve">└───────────────┴────────────────────────┘</w:t>
      </w:r>
    </w:p>
    <w:p>
      <w:pPr>
        <w:pStyle w:val="Heading2"/>
      </w:pPr>
      <w:r>
        <w:t xml:space="preserve">2.3 使用ライブラリ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ライブラリ</w:t>
            </w:r>
          </w:p>
        </w:tc>
        <w:tc>
          <w:tcPr>
            <w:tcW w:type="dxa" w:w="63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用途</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pandas</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銘柄データ（DataFrame）の管理・集約</w:t>
            </w:r>
          </w:p>
        </w:tc>
      </w:tr>
      <w:tr>
        <w:trPr>
          <w:tblHeader w:val="false"/>
        </w:trPr>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numpy</w:t>
            </w:r>
          </w:p>
        </w:tc>
        <w:tc>
          <w:tcPr>
            <w:tcW w:type="dxa" w:w="63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正規化・偏差値などの数値計算</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（オプション）matplotlib</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ダッシュボード可視化</w:t>
            </w:r>
          </w:p>
        </w:tc>
      </w:tr>
    </w:tbl>
    <w:p>
      <w:r>
        <w:br w:type="page"/>
      </w:r>
    </w:p>
    <w:p>
      <w:pPr>
        <w:pStyle w:val="Heading1"/>
      </w:pPr>
      <w:r>
        <w:t xml:space="preserve">3. 入出力仕様</w:t>
      </w:r>
    </w:p>
    <w:p>
      <w:pPr>
        <w:pStyle w:val="Heading2"/>
      </w:pPr>
      <w:r>
        <w:t xml:space="preserve">3.1 入力データ仕様（1行＝1銘柄）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rPr>
          <w:tblHeader/>
        </w:trPr>
        <w:tc>
          <w:tcPr>
            <w:tcW w:type="dxa" w:w="25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列名</w:t>
            </w:r>
          </w:p>
        </w:tc>
        <w:tc>
          <w:tcPr>
            <w:tcW w:type="dxa" w:w="38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内容</w:t>
            </w:r>
          </w:p>
        </w:tc>
        <w:tc>
          <w:tcPr>
            <w:tcW w:type="dxa" w:w="30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採点項目</w:t>
            </w:r>
          </w:p>
        </w:tc>
      </w:tr>
      <w:tr>
        <w:trPr>
          <w:tblHeader w:val="false"/>
        </w:trP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code / name / segment</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証券コード / 銘柄名 / セグメント区分</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w:t>
            </w:r>
          </w:p>
        </w:tc>
      </w:tr>
      <w:tr>
        <w:trPr>
          <w:tblHeader w:val="false"/>
        </w:trPr>
        <w:tc>
          <w:tcPr>
            <w:tcW w:type="dxa" w:w="25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growth_pct</w:t>
            </w:r>
          </w:p>
        </w:tc>
        <w:tc>
          <w:tcPr>
            <w:tcW w:type="dxa" w:w="38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業績成長率(%)</w:t>
            </w:r>
          </w:p>
        </w:tc>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業績成長率</w:t>
            </w:r>
          </w:p>
        </w:tc>
      </w:tr>
      <w:tr>
        <w:trPr>
          <w:tblHeader w:val="false"/>
        </w:trP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op_margin_pct</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営業利益率(%)</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営業利益率</w:t>
            </w:r>
          </w:p>
        </w:tc>
      </w:tr>
      <w:tr>
        <w:trPr>
          <w:tblHeader w:val="false"/>
        </w:trPr>
        <w:tc>
          <w:tcPr>
            <w:tcW w:type="dxa" w:w="25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roe_pct</w:t>
            </w:r>
          </w:p>
        </w:tc>
        <w:tc>
          <w:tcPr>
            <w:tcW w:type="dxa" w:w="38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ROE(%)</w:t>
            </w:r>
          </w:p>
        </w:tc>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ROE</w:t>
            </w:r>
          </w:p>
        </w:tc>
      </w:tr>
      <w:tr>
        <w:trPr>
          <w:tblHeader w:val="false"/>
        </w:trP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per / pbr</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PER / PBR（倍）</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PER / PBR</w:t>
            </w:r>
          </w:p>
        </w:tc>
      </w:tr>
      <w:tr>
        <w:trPr>
          <w:tblHeader w:val="false"/>
        </w:trPr>
        <w:tc>
          <w:tcPr>
            <w:tcW w:type="dxa" w:w="25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div_yield_pct</w:t>
            </w:r>
          </w:p>
        </w:tc>
        <w:tc>
          <w:tcPr>
            <w:tcW w:type="dxa" w:w="38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配当利回り(%)</w:t>
            </w:r>
          </w:p>
        </w:tc>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配当利回り</w:t>
            </w:r>
          </w:p>
        </w:tc>
      </w:tr>
      <w:tr>
        <w:trPr>
          <w:tblHeader w:val="false"/>
        </w:trP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div_growth_years</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連続増配年数</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増配実績</w:t>
            </w:r>
          </w:p>
        </w:tc>
      </w:tr>
      <w:tr>
        <w:trPr>
          <w:tblHeader w:val="false"/>
        </w:trPr>
        <w:tc>
          <w:tcPr>
            <w:tcW w:type="dxa" w:w="25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tech_score</w:t>
            </w:r>
          </w:p>
        </w:tc>
        <w:tc>
          <w:tcPr>
            <w:tcW w:type="dxa" w:w="38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テクニカルスコア(0-100)</w:t>
            </w:r>
          </w:p>
        </w:tc>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テクニカル</w:t>
            </w:r>
          </w:p>
        </w:tc>
      </w:tr>
      <w:tr>
        <w:trPr>
          <w:tblHeader w:val="false"/>
        </w:trP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vol_ratio</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出来高 / 20日平均</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出来高</w:t>
            </w:r>
          </w:p>
        </w:tc>
      </w:tr>
      <w:tr>
        <w:trPr>
          <w:tblHeader w:val="false"/>
        </w:trPr>
        <w:tc>
          <w:tcPr>
            <w:tcW w:type="dxa" w:w="25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margin_ratio</w:t>
            </w:r>
          </w:p>
        </w:tc>
        <w:tc>
          <w:tcPr>
            <w:tcW w:type="dxa" w:w="38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信用倍率（任意）</w:t>
            </w:r>
          </w:p>
        </w:tc>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信用倍率</w:t>
            </w:r>
          </w:p>
        </w:tc>
      </w:tr>
      <w:tr>
        <w:trPr>
          <w:tblHeader w:val="false"/>
        </w:trP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analyst_rating</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アナリスト評価 1-5（任意）</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アナリスト評価</w:t>
            </w:r>
          </w:p>
        </w:tc>
      </w:tr>
      <w:tr>
        <w:trPr>
          <w:tblHeader w:val="false"/>
        </w:trPr>
        <w:tc>
          <w:tcPr>
            <w:tcW w:type="dxa" w:w="25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ret_1m_pct / ret_3m_pct</w:t>
            </w:r>
          </w:p>
        </w:tc>
        <w:tc>
          <w:tcPr>
            <w:tcW w:type="dxa" w:w="38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1ヶ月 / 3ヶ月騰落率(%)</w:t>
            </w:r>
          </w:p>
        </w:tc>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セグメント強弱用</w:t>
            </w:r>
          </w:p>
        </w:tc>
      </w:tr>
    </w:tbl>
    <w:p>
      <w:pPr>
        <w:pStyle w:val="Heading2"/>
      </w:pPr>
      <w:r>
        <w:t xml:space="preserve">3.2 出力仕様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出力</w:t>
            </w:r>
          </w:p>
        </w:tc>
        <w:tc>
          <w:tcPr>
            <w:tcW w:type="dxa" w:w="51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内容</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score</w:t>
            </w:r>
          </w:p>
        </w:tc>
        <w:tc>
          <w:tcPr>
            <w:tcW w:type="dxa" w:w="5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各銘柄の総合スコア（0～100点）</w:t>
            </w:r>
          </w:p>
        </w:tc>
      </w:tr>
      <w:tr>
        <w:trPr>
          <w:tblHeader w:val="false"/>
        </w:trPr>
        <w:tc>
          <w:tcPr>
            <w:tcW w:type="dxa" w:w="4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s_growth_block / s_value_block / s_tech_block</w:t>
            </w:r>
          </w:p>
        </w:tc>
        <w:tc>
          <w:tcPr>
            <w:tcW w:type="dxa" w:w="51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カテゴリ別内訳スコア</w:t>
            </w:r>
          </w:p>
        </w:tc>
      </w:tr>
      <w:tr>
        <w:trPr>
          <w:tblHeader w:val="false"/>
        </w:trPr>
        <w:tc>
          <w:tcPr>
            <w:tcW w:type="dxa" w:w="4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segment_strength()</w:t>
            </w:r>
          </w:p>
        </w:tc>
        <w:tc>
          <w:tcPr>
            <w:tcW w:type="dxa" w:w="5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セグメント別の強弱偏差値・平均指標</w:t>
            </w:r>
          </w:p>
        </w:tc>
      </w:tr>
      <w:tr>
        <w:trPr>
          <w:tblHeader w:val="false"/>
        </w:trPr>
        <w:tc>
          <w:tcPr>
            <w:tcW w:type="dxa" w:w="4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top_n_per_segment()</w:t>
            </w:r>
          </w:p>
        </w:tc>
        <w:tc>
          <w:tcPr>
            <w:tcW w:type="dxa" w:w="51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各セグメント上位n社のランキング</w:t>
            </w:r>
          </w:p>
        </w:tc>
      </w:tr>
    </w:tbl>
    <w:p>
      <w:r>
        <w:br w:type="page"/>
      </w:r>
    </w:p>
    <w:p>
      <w:pPr>
        <w:pStyle w:val="Heading1"/>
      </w:pPr>
      <w:r>
        <w:t xml:space="preserve">4. 配点定義（100点満点）</w:t>
      </w:r>
    </w:p>
    <w:p>
      <w:pPr>
        <w:spacing w:after="120" w:line="288"/>
      </w:pPr>
      <w:r>
        <w:rPr>
          <w:sz w:val="21"/>
          <w:szCs w:val="21"/>
        </w:rPr>
        <w:t xml:space="preserve">採点は以下の11項目・4カテゴリで構成する。配点はユーザー定義に準拠する。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300"/>
        <w:gridCol w:w="32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カテゴリ</w:t>
            </w:r>
          </w:p>
        </w:tc>
        <w:tc>
          <w:tcPr>
            <w:tcW w:type="dxa" w:w="26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項目</w:t>
            </w:r>
          </w:p>
        </w:tc>
        <w:tc>
          <w:tcPr>
            <w:tcW w:type="dxa" w:w="13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配点</w:t>
            </w:r>
          </w:p>
        </w:tc>
        <w:tc>
          <w:tcPr>
            <w:tcW w:type="dxa" w:w="32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評価の方向</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成長・収益性
(40点)</w:t>
            </w:r>
          </w:p>
        </w:tc>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業績成長率</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20</w:t>
            </w:r>
          </w:p>
        </w:tc>
        <w:tc>
          <w:tcPr>
            <w:tcW w:type="dxa" w:w="3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高いほど高評価</w:t>
            </w:r>
          </w:p>
        </w:tc>
      </w:tr>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sz w:val="19"/>
                <w:szCs w:val="19"/>
              </w:rPr>
              <w:t xml:space="preserve"/>
            </w:r>
          </w:p>
        </w:tc>
        <w:tc>
          <w:tcPr>
            <w:tcW w:type="dxa" w:w="26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営業利益率</w:t>
            </w:r>
          </w:p>
        </w:tc>
        <w:tc>
          <w:tcPr>
            <w:tcW w:type="dxa" w:w="13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10</w:t>
            </w:r>
          </w:p>
        </w:tc>
        <w:tc>
          <w:tcPr>
            <w:tcW w:type="dxa" w:w="32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高いほど高評価</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sz w:val="19"/>
                <w:szCs w:val="19"/>
              </w:rPr>
              <w:t xml:space="preserve"/>
            </w:r>
          </w:p>
        </w:tc>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ROE</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10</w:t>
            </w:r>
          </w:p>
        </w:tc>
        <w:tc>
          <w:tcPr>
            <w:tcW w:type="dxa" w:w="3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高いほど高評価</w:t>
            </w:r>
          </w:p>
        </w:tc>
      </w:tr>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バリュー・配当
(30点)</w:t>
            </w:r>
          </w:p>
        </w:tc>
        <w:tc>
          <w:tcPr>
            <w:tcW w:type="dxa" w:w="26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PER</w:t>
            </w:r>
          </w:p>
        </w:tc>
        <w:tc>
          <w:tcPr>
            <w:tcW w:type="dxa" w:w="13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10</w:t>
            </w:r>
          </w:p>
        </w:tc>
        <w:tc>
          <w:tcPr>
            <w:tcW w:type="dxa" w:w="32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低いほど高評価</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sz w:val="19"/>
                <w:szCs w:val="19"/>
              </w:rPr>
              <w:t xml:space="preserve"/>
            </w:r>
          </w:p>
        </w:tc>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PBR</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5</w:t>
            </w:r>
          </w:p>
        </w:tc>
        <w:tc>
          <w:tcPr>
            <w:tcW w:type="dxa" w:w="3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低いほど高評価</w:t>
            </w:r>
          </w:p>
        </w:tc>
      </w:tr>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sz w:val="19"/>
                <w:szCs w:val="19"/>
              </w:rPr>
              <w:t xml:space="preserve"/>
            </w:r>
          </w:p>
        </w:tc>
        <w:tc>
          <w:tcPr>
            <w:tcW w:type="dxa" w:w="26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配当利回り</w:t>
            </w:r>
          </w:p>
        </w:tc>
        <w:tc>
          <w:tcPr>
            <w:tcW w:type="dxa" w:w="13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10</w:t>
            </w:r>
          </w:p>
        </w:tc>
        <w:tc>
          <w:tcPr>
            <w:tcW w:type="dxa" w:w="32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高いほど高評価</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sz w:val="19"/>
                <w:szCs w:val="19"/>
              </w:rPr>
              <w:t xml:space="preserve"/>
            </w:r>
          </w:p>
        </w:tc>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増配実績</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5</w:t>
            </w:r>
          </w:p>
        </w:tc>
        <w:tc>
          <w:tcPr>
            <w:tcW w:type="dxa" w:w="3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連続年数が長いほど高評価</w:t>
            </w:r>
          </w:p>
        </w:tc>
      </w:tr>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テクニカル・需給
(25点)</w:t>
            </w:r>
          </w:p>
        </w:tc>
        <w:tc>
          <w:tcPr>
            <w:tcW w:type="dxa" w:w="26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テクニカル</w:t>
            </w:r>
          </w:p>
        </w:tc>
        <w:tc>
          <w:tcPr>
            <w:tcW w:type="dxa" w:w="13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15</w:t>
            </w:r>
          </w:p>
        </w:tc>
        <w:tc>
          <w:tcPr>
            <w:tcW w:type="dxa" w:w="32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スコアが高いほど高評価</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sz w:val="19"/>
                <w:szCs w:val="19"/>
              </w:rPr>
              <w:t xml:space="preserve"/>
            </w:r>
          </w:p>
        </w:tc>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出来高</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5</w:t>
            </w:r>
          </w:p>
        </w:tc>
        <w:tc>
          <w:tcPr>
            <w:tcW w:type="dxa" w:w="3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出来高比が高いほど高評価</w:t>
            </w:r>
          </w:p>
        </w:tc>
      </w:tr>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sz w:val="19"/>
                <w:szCs w:val="19"/>
              </w:rPr>
              <w:t xml:space="preserve"/>
            </w:r>
          </w:p>
        </w:tc>
        <w:tc>
          <w:tcPr>
            <w:tcW w:type="dxa" w:w="26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信用倍率※</w:t>
            </w:r>
          </w:p>
        </w:tc>
        <w:tc>
          <w:tcPr>
            <w:tcW w:type="dxa" w:w="13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5</w:t>
            </w:r>
          </w:p>
        </w:tc>
        <w:tc>
          <w:tcPr>
            <w:tcW w:type="dxa" w:w="32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低いほど高評価（需給良好）</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外部評価
(5点)</w:t>
            </w:r>
          </w:p>
        </w:tc>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アナリスト評価※</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5</w:t>
            </w:r>
          </w:p>
        </w:tc>
        <w:tc>
          <w:tcPr>
            <w:tcW w:type="dxa" w:w="3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高いほど高評価</w:t>
            </w:r>
          </w:p>
        </w:tc>
      </w:tr>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bCs/>
                <w:sz w:val="19"/>
                <w:szCs w:val="19"/>
              </w:rPr>
              <w:t xml:space="preserve">合計</w:t>
            </w:r>
          </w:p>
        </w:tc>
        <w:tc>
          <w:tcPr>
            <w:tcW w:type="dxa" w:w="26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bCs/>
                <w:sz w:val="19"/>
                <w:szCs w:val="19"/>
              </w:rPr>
              <w:t xml:space="preserve">11項目</w:t>
            </w:r>
          </w:p>
        </w:tc>
        <w:tc>
          <w:tcPr>
            <w:tcW w:type="dxa" w:w="13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bCs/>
                <w:sz w:val="19"/>
                <w:szCs w:val="19"/>
              </w:rPr>
              <w:t xml:space="preserve">100</w:t>
            </w:r>
          </w:p>
        </w:tc>
        <w:tc>
          <w:tcPr>
            <w:tcW w:type="dxa" w:w="32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bCs/>
                <w:sz w:val="19"/>
                <w:szCs w:val="19"/>
              </w:rPr>
              <w:t xml:space="preserve">―</w:t>
            </w:r>
          </w:p>
        </w:tc>
      </w:tr>
    </w:tbl>
    <w:p>
      <w:pPr>
        <w:spacing w:after="120" w:line="288"/>
      </w:pPr>
      <w:r>
        <w:rPr>
          <w:color w:val="666666"/>
          <w:sz w:val="18"/>
          <w:szCs w:val="18"/>
        </w:rPr>
        <w:t xml:space="preserve">※ 信用倍率・アナリスト評価は「任意項目」。欠損時は母数から除外し比例配分する（第6章）。</w:t>
      </w:r>
    </w:p>
    <w:p>
      <w:r>
        <w:br w:type="page"/>
      </w:r>
    </w:p>
    <w:p>
      <w:pPr>
        <w:pStyle w:val="Heading1"/>
      </w:pPr>
      <w:r>
        <w:t xml:space="preserve">5. 指標正規化ロジック（score_metrics）</w:t>
      </w:r>
    </w:p>
    <w:p>
      <w:pPr>
        <w:spacing w:after="120" w:line="288"/>
      </w:pPr>
      <w:r>
        <w:rPr>
          <w:sz w:val="21"/>
          <w:szCs w:val="21"/>
        </w:rPr>
        <w:t xml:space="preserve">各指標を0～1の評価スコアに変換する。上限・下限を超える値はクリップ（頭打ち）する。</w:t>
      </w:r>
    </w:p>
    <w:p>
      <w:pPr>
        <w:pStyle w:val="Heading2"/>
      </w:pPr>
      <w:r>
        <w:t xml:space="preserve">5.1 高いほど良い項目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項目</w:t>
            </w:r>
          </w:p>
        </w:tc>
        <w:tc>
          <w:tcPr>
            <w:tcW w:type="dxa" w:w="30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満点(=1.0)となる水準</w:t>
            </w:r>
          </w:p>
        </w:tc>
        <w:tc>
          <w:tcPr>
            <w:tcW w:type="dxa" w:w="39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計算式</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業績成長率</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30%以上</w:t>
            </w:r>
          </w:p>
        </w:tc>
        <w:tc>
          <w:tcPr>
            <w:tcW w:type="dxa" w:w="3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growth_pct / 30</w:t>
            </w:r>
          </w:p>
        </w:tc>
      </w:tr>
      <w:tr>
        <w:trPr>
          <w:tblHeader w:val="false"/>
        </w:trPr>
        <w:tc>
          <w:tcPr>
            <w:tcW w:type="dxa" w:w="2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営業利益率</w:t>
            </w:r>
          </w:p>
        </w:tc>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25%以上</w:t>
            </w:r>
          </w:p>
        </w:tc>
        <w:tc>
          <w:tcPr>
            <w:tcW w:type="dxa" w:w="39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op_margin_pct / 25</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ROE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20%以上</w:t>
            </w:r>
          </w:p>
        </w:tc>
        <w:tc>
          <w:tcPr>
            <w:tcW w:type="dxa" w:w="3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roe_pct / 20</w:t>
            </w:r>
          </w:p>
        </w:tc>
      </w:tr>
      <w:tr>
        <w:trPr>
          <w:tblHeader w:val="false"/>
        </w:trPr>
        <w:tc>
          <w:tcPr>
            <w:tcW w:type="dxa" w:w="2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配当利回り</w:t>
            </w:r>
          </w:p>
        </w:tc>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4.0%以上</w:t>
            </w:r>
          </w:p>
        </w:tc>
        <w:tc>
          <w:tcPr>
            <w:tcW w:type="dxa" w:w="39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div_yield_pct / 4.0</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増配実績</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連続10年以上</w:t>
            </w:r>
          </w:p>
        </w:tc>
        <w:tc>
          <w:tcPr>
            <w:tcW w:type="dxa" w:w="3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div_growth_years / 10</w:t>
            </w:r>
          </w:p>
        </w:tc>
      </w:tr>
      <w:tr>
        <w:trPr>
          <w:tblHeader w:val="false"/>
        </w:trPr>
        <w:tc>
          <w:tcPr>
            <w:tcW w:type="dxa" w:w="2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テクニカル</w:t>
            </w:r>
          </w:p>
        </w:tc>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スコア100</w:t>
            </w:r>
          </w:p>
        </w:tc>
        <w:tc>
          <w:tcPr>
            <w:tcW w:type="dxa" w:w="39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tech_score / 100</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出来高</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出来高比2.5倍</w:t>
            </w:r>
          </w:p>
        </w:tc>
        <w:tc>
          <w:tcPr>
            <w:tcW w:type="dxa" w:w="3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(vol_ratio − 0.5) / 2.0</w:t>
            </w:r>
          </w:p>
        </w:tc>
      </w:tr>
      <w:tr>
        <w:trPr>
          <w:tblHeader w:val="false"/>
        </w:trPr>
        <w:tc>
          <w:tcPr>
            <w:tcW w:type="dxa" w:w="2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アナリスト評価</w:t>
            </w:r>
          </w:p>
        </w:tc>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5段階中5</w:t>
            </w:r>
          </w:p>
        </w:tc>
        <w:tc>
          <w:tcPr>
            <w:tcW w:type="dxa" w:w="39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(analyst_rating − 1) / 4</w:t>
            </w:r>
          </w:p>
        </w:tc>
      </w:tr>
    </w:tbl>
    <w:p>
      <w:pPr>
        <w:pStyle w:val="Heading2"/>
      </w:pPr>
      <w:r>
        <w:t xml:space="preserve">5.2 低いほど良い項目（バリュエーション）</w:t>
      </w:r>
    </w:p>
    <w:p>
      <w:pPr>
        <w:spacing w:after="120" w:line="288"/>
      </w:pPr>
      <w:r>
        <w:rPr>
          <w:sz w:val="21"/>
          <w:szCs w:val="21"/>
        </w:rPr>
        <w:t xml:space="preserve">PER・PBRは割安なほど高評価とするため、逆方向に正規化する。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項目</w:t>
            </w:r>
          </w:p>
        </w:tc>
        <w:tc>
          <w:tcPr>
            <w:tcW w:type="dxa" w:w="22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満点(=1.0)</w:t>
            </w:r>
          </w:p>
        </w:tc>
        <w:tc>
          <w:tcPr>
            <w:tcW w:type="dxa" w:w="22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0点(=0.0)</w:t>
            </w:r>
          </w:p>
        </w:tc>
        <w:tc>
          <w:tcPr>
            <w:tcW w:type="dxa" w:w="31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計算式</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PER</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8倍以下</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40倍以上</w:t>
            </w:r>
          </w:p>
        </w:tc>
        <w:tc>
          <w:tcPr>
            <w:tcW w:type="dxa" w:w="3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(40 − per) / (40 − 8)</w:t>
            </w:r>
          </w:p>
        </w:tc>
      </w:tr>
      <w:tr>
        <w:trPr>
          <w:tblHeader w:val="false"/>
        </w:trPr>
        <w:tc>
          <w:tcPr>
            <w:tcW w:type="dxa" w:w="18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PBR</w:t>
            </w:r>
          </w:p>
        </w:tc>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0.8倍以下</w:t>
            </w:r>
          </w:p>
        </w:tc>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5.0倍以上</w:t>
            </w:r>
          </w:p>
        </w:tc>
        <w:tc>
          <w:tcPr>
            <w:tcW w:type="dxa" w:w="31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(5.0 − pbr) / (5.0 − 0.8)</w:t>
            </w:r>
          </w:p>
        </w:tc>
      </w:tr>
    </w:tbl>
    <w:p>
      <w:pPr>
        <w:pStyle w:val="Heading2"/>
      </w:pPr>
      <w:r>
        <w:t xml:space="preserve">5.3 最適レンジ型（信用倍率）</w:t>
      </w:r>
    </w:p>
    <w:p>
      <w:pPr>
        <w:spacing w:after="120" w:line="288"/>
      </w:pPr>
      <w:r>
        <w:rPr>
          <w:sz w:val="21"/>
          <w:szCs w:val="21"/>
        </w:rPr>
        <w:t xml:space="preserve">信用倍率は低い（需給良好）ほど加点する。</w:t>
      </w:r>
    </w:p>
    <w:p>
      <w:pPr>
        <w:pBdr>
          <w:top w:val="single" w:color="D0D0D0" w:sz="4"/>
          <w:left w:val="single" w:color="2E75B6" w:sz="12"/>
          <w:bottom w:val="single" w:color="D0D0D0" w:sz="4"/>
          <w:right w:val="single" w:color="D0D0D0" w:sz="4"/>
        </w:pBdr>
        <w:shd w:fill="F5F5F5" w:val="clear"/>
        <w:spacing w:after="120" w:before="80" w:line="264"/>
        <w:ind w:left="120"/>
      </w:pPr>
      <w:r>
        <w:rPr>
          <w:rFonts w:ascii="Consolas" w:cs="Consolas" w:eastAsia="Consolas" w:hAnsi="Consolas"/>
          <w:color w:val="333333"/>
          <w:sz w:val="18"/>
          <w:szCs w:val="18"/>
        </w:rPr>
        <w:t xml:space="preserve">margin_ratio: 1倍以下 = 満点 / 6倍以上 = 0点</w:t>
      </w:r>
      <w:r>
        <w:br/>
      </w:r>
      <w:r>
        <w:rPr>
          <w:rFonts w:ascii="Consolas" w:cs="Consolas" w:eastAsia="Consolas" w:hAnsi="Consolas"/>
          <w:color w:val="333333"/>
          <w:sz w:val="18"/>
          <w:szCs w:val="18"/>
        </w:rPr>
        <w:t xml:space="preserve">score = (6.0 − margin_ratio) / (6.0 − 1.0)</w:t>
      </w:r>
    </w:p>
    <w:p>
      <w:r>
        <w:br w:type="page"/>
      </w:r>
    </w:p>
    <w:p>
      <w:pPr>
        <w:pStyle w:val="Heading1"/>
      </w:pPr>
      <w:r>
        <w:t xml:space="preserve">6. 総合採点ロジック（total_score）</w:t>
      </w:r>
    </w:p>
    <w:p>
      <w:pPr>
        <w:spacing w:after="120" w:line="288"/>
      </w:pPr>
      <w:r>
        <w:rPr>
          <w:sz w:val="21"/>
          <w:szCs w:val="21"/>
        </w:rPr>
        <w:t xml:space="preserve">正規化スコアに配点を掛けて合算し、100点満点に換算する。</w:t>
      </w:r>
    </w:p>
    <w:p>
      <w:pPr>
        <w:pStyle w:val="Heading2"/>
      </w:pPr>
      <w:r>
        <w:t xml:space="preserve">6.1 基本式</w:t>
      </w:r>
    </w:p>
    <w:p>
      <w:pPr>
        <w:pBdr>
          <w:top w:val="single" w:color="D0D0D0" w:sz="4"/>
          <w:left w:val="single" w:color="2E75B6" w:sz="12"/>
          <w:bottom w:val="single" w:color="D0D0D0" w:sz="4"/>
          <w:right w:val="single" w:color="D0D0D0" w:sz="4"/>
        </w:pBdr>
        <w:shd w:fill="F5F5F5" w:val="clear"/>
        <w:spacing w:after="120" w:before="80" w:line="264"/>
        <w:ind w:left="120"/>
      </w:pPr>
      <w:r>
        <w:rPr>
          <w:rFonts w:ascii="Consolas" w:cs="Consolas" w:eastAsia="Consolas" w:hAnsi="Consolas"/>
          <w:color w:val="333333"/>
          <w:sz w:val="18"/>
          <w:szCs w:val="18"/>
        </w:rPr>
        <w:t xml:space="preserve">raw   = Σ ( 正規化スコア[項目] × 配点[項目] )   （対象=有効項目）</w:t>
      </w:r>
      <w:r>
        <w:br/>
      </w:r>
      <w:r>
        <w:rPr>
          <w:rFonts w:ascii="Consolas" w:cs="Consolas" w:eastAsia="Consolas" w:hAnsi="Consolas"/>
          <w:color w:val="333333"/>
          <w:sz w:val="18"/>
          <w:szCs w:val="18"/>
        </w:rPr>
        <w:t xml:space="preserve">denom = Σ ( 配点[項目] )                        （対象=有効項目）</w:t>
      </w:r>
      <w:r>
        <w:br/>
      </w:r>
      <w:r>
        <w:rPr>
          <w:rFonts w:ascii="Consolas" w:cs="Consolas" w:eastAsia="Consolas" w:hAnsi="Consolas"/>
          <w:color w:val="333333"/>
          <w:sz w:val="18"/>
          <w:szCs w:val="18"/>
        </w:rPr>
        <w:t xml:space="preserve">score = raw / denom × 100</w:t>
      </w:r>
    </w:p>
    <w:p>
      <w:pPr>
        <w:pStyle w:val="Heading2"/>
      </w:pPr>
      <w:r>
        <w:t xml:space="preserve">6.2 任意項目欠損時の比例配分</w:t>
      </w:r>
    </w:p>
    <w:p>
      <w:pPr>
        <w:spacing w:after="120" w:line="288"/>
      </w:pPr>
      <w:r>
        <w:rPr>
          <w:sz w:val="21"/>
          <w:szCs w:val="21"/>
        </w:rPr>
        <w:t xml:space="preserve">信用倍率・アナリスト評価が取得できない場合、その配点を母数（denom）から自動的に除外する。これにより、取得可能な項目だけで公平に100点換算される。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ケース</w:t>
            </w:r>
          </w:p>
        </w:tc>
        <w:tc>
          <w:tcPr>
            <w:tcW w:type="dxa" w:w="36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有効項目の配点合計(denom)</w:t>
            </w:r>
          </w:p>
        </w:tc>
        <w:tc>
          <w:tcPr>
            <w:tcW w:type="dxa" w:w="27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換算</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全11項目あり</w:t>
            </w:r>
          </w:p>
        </w:tc>
        <w:tc>
          <w:tcPr>
            <w:tcW w:type="dxa" w:w="3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100</w:t>
            </w:r>
          </w:p>
        </w:tc>
        <w:tc>
          <w:tcPr>
            <w:tcW w:type="dxa" w:w="2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raw / 100 × 100</w:t>
            </w:r>
          </w:p>
        </w:tc>
      </w:tr>
      <w:tr>
        <w:trPr>
          <w:tblHeader w:val="false"/>
        </w:trPr>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信用倍率のみ欠損</w:t>
            </w:r>
          </w:p>
        </w:tc>
        <w:tc>
          <w:tcPr>
            <w:tcW w:type="dxa" w:w="36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95</w:t>
            </w:r>
          </w:p>
        </w:tc>
        <w:tc>
          <w:tcPr>
            <w:tcW w:type="dxa" w:w="27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raw / 95 × 100</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信用倍率・アナリスト欠損</w:t>
            </w:r>
          </w:p>
        </w:tc>
        <w:tc>
          <w:tcPr>
            <w:tcW w:type="dxa" w:w="3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90</w:t>
            </w:r>
          </w:p>
        </w:tc>
        <w:tc>
          <w:tcPr>
            <w:tcW w:type="dxa" w:w="2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raw / 90 × 100</w:t>
            </w:r>
          </w:p>
        </w:tc>
      </w:tr>
    </w:tbl>
    <w:p>
      <w:pPr>
        <w:spacing w:after="80"/>
      </w:pPr>
      <w:r>
        <w:t xml:space="preserve"/>
      </w:r>
    </w:p>
    <w:p>
      <w:pPr>
        <w:pBdr>
          <w:top w:val="single" w:color="BFBFBF" w:sz="4"/>
          <w:left w:val="single" w:color="2E75B6" w:sz="18"/>
          <w:bottom w:val="single" w:color="BFBFBF" w:sz="4"/>
          <w:right w:val="single" w:color="BFBFBF" w:sz="4"/>
        </w:pBdr>
        <w:shd w:fill="EEF3FB" w:val="clear"/>
        <w:spacing w:after="60" w:before="60" w:line="276"/>
        <w:ind w:left="140"/>
      </w:pPr>
      <w:r>
        <w:rPr>
          <w:b/>
          <w:bCs/>
          <w:color w:val="2E75B6"/>
          <w:sz w:val="20"/>
          <w:szCs w:val="20"/>
        </w:rPr>
        <w:t xml:space="preserve">【設計意図】 </w:t>
      </w:r>
      <w:r>
        <w:rPr>
          <w:sz w:val="20"/>
          <w:szCs w:val="20"/>
        </w:rPr>
        <w:t xml:space="preserve">無料データ構成では信用倍率・アナリスト評価の入手が困難なため、これらを欠損許容とすることで、無料データのみでもスコアが破綻せず運用できる。</w:t>
      </w:r>
    </w:p>
    <w:p>
      <w:pPr>
        <w:pStyle w:val="Heading2"/>
      </w:pPr>
      <w:r>
        <w:t xml:space="preserve">6.3 カテゴリ別内訳スコア</w:t>
      </w:r>
    </w:p>
    <w:p>
      <w:pPr>
        <w:spacing w:after="120" w:line="288"/>
      </w:pPr>
      <w:r>
        <w:rPr>
          <w:sz w:val="21"/>
          <w:szCs w:val="21"/>
        </w:rPr>
        <w:t xml:space="preserve">総合スコアに加え、3カテゴリの内訳も算出し、銘柄の「強みの所在」を可視化する。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内訳列</w:t>
            </w:r>
          </w:p>
        </w:tc>
        <w:tc>
          <w:tcPr>
            <w:tcW w:type="dxa" w:w="63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構成</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s_growth_block</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成長率＋営業利益率＋ROE（最大40点）</w:t>
            </w:r>
          </w:p>
        </w:tc>
      </w:tr>
      <w:tr>
        <w:trPr>
          <w:tblHeader w:val="false"/>
        </w:trPr>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s_value_block</w:t>
            </w:r>
          </w:p>
        </w:tc>
        <w:tc>
          <w:tcPr>
            <w:tcW w:type="dxa" w:w="63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PER＋PBR＋配当＋増配（最大30点）</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s_tech_block</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テクニカル＋出来高＋信用倍率（最大25点）</w:t>
            </w:r>
          </w:p>
        </w:tc>
      </w:tr>
    </w:tbl>
    <w:p>
      <w:r>
        <w:br w:type="page"/>
      </w:r>
    </w:p>
    <w:p>
      <w:pPr>
        <w:pStyle w:val="Heading1"/>
      </w:pPr>
      <w:r>
        <w:t xml:space="preserve">7. セグメント強弱ロジック（segment_strength）</w:t>
      </w:r>
    </w:p>
    <w:p>
      <w:pPr>
        <w:spacing w:after="120" w:line="288"/>
      </w:pPr>
      <w:r>
        <w:rPr>
          <w:sz w:val="21"/>
          <w:szCs w:val="21"/>
        </w:rPr>
        <w:t xml:space="preserve">各セグメントの代表銘柄を集約し、3つの軸を偏差値化して合成することで「セグメント自体の強弱」を数値化する。</w:t>
      </w:r>
    </w:p>
    <w:p>
      <w:pPr>
        <w:pStyle w:val="Heading2"/>
      </w:pPr>
      <w:r>
        <w:t xml:space="preserve">7.1 集約指標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軸</w:t>
            </w:r>
          </w:p>
        </w:tc>
        <w:tc>
          <w:tcPr>
            <w:tcW w:type="dxa" w:w="36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使用指標</w:t>
            </w:r>
          </w:p>
        </w:tc>
        <w:tc>
          <w:tcPr>
            <w:tcW w:type="dxa" w:w="35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意味</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モメンタム</w:t>
            </w:r>
          </w:p>
        </w:tc>
        <w:tc>
          <w:tcPr>
            <w:tcW w:type="dxa" w:w="3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1ヶ月・3ヶ月平均騰落率</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価格の勢い</w:t>
            </w:r>
          </w:p>
        </w:tc>
      </w:tr>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資金流入</w:t>
            </w:r>
          </w:p>
        </w:tc>
        <w:tc>
          <w:tcPr>
            <w:tcW w:type="dxa" w:w="36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平均出来高比（vol_ratio）</w:t>
            </w:r>
          </w:p>
        </w:tc>
        <w:tc>
          <w:tcPr>
            <w:tcW w:type="dxa" w:w="35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資金の集まり具合</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ファンダ健全性</w:t>
            </w:r>
          </w:p>
        </w:tc>
        <w:tc>
          <w:tcPr>
            <w:tcW w:type="dxa" w:w="3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平均ROE・平均成長率</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企業体力</w:t>
            </w:r>
          </w:p>
        </w:tc>
      </w:tr>
    </w:tbl>
    <w:p>
      <w:pPr>
        <w:pStyle w:val="Heading2"/>
      </w:pPr>
      <w:r>
        <w:t xml:space="preserve">7.2 合成式（偏差値化）</w:t>
      </w:r>
    </w:p>
    <w:p>
      <w:pPr>
        <w:spacing w:after="120" w:line="288"/>
      </w:pPr>
      <w:r>
        <w:rPr>
          <w:sz w:val="21"/>
          <w:szCs w:val="21"/>
        </w:rPr>
        <w:t xml:space="preserve">各指標をZスコア化し、以下の重みで合成する。最終的に偏差値（50±10）へ変換する。</w:t>
      </w:r>
    </w:p>
    <w:p>
      <w:pPr>
        <w:pBdr>
          <w:top w:val="single" w:color="D0D0D0" w:sz="4"/>
          <w:left w:val="single" w:color="2E75B6" w:sz="12"/>
          <w:bottom w:val="single" w:color="D0D0D0" w:sz="4"/>
          <w:right w:val="single" w:color="D0D0D0" w:sz="4"/>
        </w:pBdr>
        <w:shd w:fill="F5F5F5" w:val="clear"/>
        <w:spacing w:after="120" w:before="80" w:line="264"/>
        <w:ind w:left="120"/>
      </w:pPr>
      <w:r>
        <w:rPr>
          <w:rFonts w:ascii="Consolas" w:cs="Consolas" w:eastAsia="Consolas" w:hAnsi="Consolas"/>
          <w:color w:val="333333"/>
          <w:sz w:val="18"/>
          <w:szCs w:val="18"/>
        </w:rPr>
        <w:t xml:space="preserve">strength_z =</w:t>
      </w:r>
      <w:r>
        <w:br/>
      </w:r>
      <w:r>
        <w:rPr>
          <w:rFonts w:ascii="Consolas" w:cs="Consolas" w:eastAsia="Consolas" w:hAnsi="Consolas"/>
          <w:color w:val="333333"/>
          <w:sz w:val="18"/>
          <w:szCs w:val="18"/>
        </w:rPr>
        <w:t xml:space="preserve">    0.40 × ( z(1M) × 0.4 + z(3M) × 0.6 )     … モメンタム</w:t>
      </w:r>
      <w:r>
        <w:br/>
      </w:r>
      <w:r>
        <w:rPr>
          <w:rFonts w:ascii="Consolas" w:cs="Consolas" w:eastAsia="Consolas" w:hAnsi="Consolas"/>
          <w:color w:val="333333"/>
          <w:sz w:val="18"/>
          <w:szCs w:val="18"/>
        </w:rPr>
        <w:t xml:space="preserve">  + 0.30 × z(出来高比)                          … 資金流入</w:t>
      </w:r>
      <w:r>
        <w:br/>
      </w:r>
      <w:r>
        <w:rPr>
          <w:rFonts w:ascii="Consolas" w:cs="Consolas" w:eastAsia="Consolas" w:hAnsi="Consolas"/>
          <w:color w:val="333333"/>
          <w:sz w:val="18"/>
          <w:szCs w:val="18"/>
        </w:rPr>
        <w:t xml:space="preserve">  + 0.30 × ( z(ROE) × 0.5 + z(成長率) × 0.5 )   … ファンダ健全性</w:t>
      </w:r>
      <w:r>
        <w:br/>
      </w:r>
      <w:r>
        <w:rPr>
          <w:rFonts w:ascii="Consolas" w:cs="Consolas" w:eastAsia="Consolas" w:hAnsi="Consolas"/>
          <w:color w:val="333333"/>
          <w:sz w:val="18"/>
          <w:szCs w:val="18"/>
        </w:rPr>
        <w:t xml:space="preserve"/>
      </w:r>
      <w:r>
        <w:br/>
      </w:r>
      <w:r>
        <w:rPr>
          <w:rFonts w:ascii="Consolas" w:cs="Consolas" w:eastAsia="Consolas" w:hAnsi="Consolas"/>
          <w:color w:val="333333"/>
          <w:sz w:val="18"/>
          <w:szCs w:val="18"/>
        </w:rPr>
        <w:t xml:space="preserve">strength(偏差値) = 50 + strength_z × 10</w:t>
      </w:r>
    </w:p>
    <w:p>
      <w:pPr>
        <w:spacing w:after="80"/>
      </w:pPr>
      <w:r>
        <w:t xml:space="preserve"/>
      </w:r>
    </w:p>
    <w:p>
      <w:pPr>
        <w:spacing w:after="120" w:line="288"/>
      </w:pPr>
      <w:r>
        <w:rPr>
          <w:b/>
          <w:bCs/>
          <w:color w:val="1F4E79"/>
          <w:sz w:val="21"/>
          <w:szCs w:val="21"/>
        </w:rPr>
        <w:t xml:space="preserve">解釈の目安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偏差値</w:t>
            </w:r>
          </w:p>
        </w:tc>
        <w:tc>
          <w:tcPr>
            <w:tcW w:type="dxa" w:w="71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解釈</w:t>
            </w:r>
          </w:p>
        </w:tc>
      </w:tr>
      <w:tr>
        <w:trPr>
          <w:tblHeader w:val="false"/>
        </w:trPr>
        <w:tc>
          <w:tcPr>
            <w:tcW w:type="dxa" w:w="2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vAlign w:val="center"/>
          </w:tcPr>
          <w:p>
            <w:r>
              <w:rPr>
                <w:b w:val="false"/>
                <w:bCs w:val="false"/>
                <w:sz w:val="19"/>
                <w:szCs w:val="19"/>
              </w:rPr>
              <w:t xml:space="preserve">55以上</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相対的に強い（資金が向かっている）</w:t>
            </w:r>
          </w:p>
        </w:tc>
      </w:tr>
      <w:tr>
        <w:trPr>
          <w:tblHeader w:val="false"/>
        </w:trPr>
        <w:tc>
          <w:tcPr>
            <w:tcW w:type="dxa" w:w="2200"/>
            <w:tcBorders>
              <w:top w:val="single" w:color="BFBFBF" w:sz="4"/>
              <w:left w:val="single" w:color="BFBFBF" w:sz="4"/>
              <w:bottom w:val="single" w:color="BFBFBF" w:sz="4"/>
              <w:right w:val="single" w:color="BFBFBF" w:sz="4"/>
            </w:tcBorders>
            <w:shd w:fill="FFF9E6" w:val="clear"/>
            <w:tcMar>
              <w:top w:type="dxa" w:w="60"/>
              <w:left w:type="dxa" w:w="120"/>
              <w:bottom w:type="dxa" w:w="60"/>
              <w:right w:type="dxa" w:w="120"/>
            </w:tcMar>
            <w:vAlign w:val="center"/>
          </w:tcPr>
          <w:p>
            <w:r>
              <w:rPr>
                <w:b w:val="false"/>
                <w:bCs w:val="false"/>
                <w:sz w:val="19"/>
                <w:szCs w:val="19"/>
              </w:rPr>
              <w:t xml:space="preserve">45～55</w:t>
            </w:r>
          </w:p>
        </w:tc>
        <w:tc>
          <w:tcPr>
            <w:tcW w:type="dxa" w:w="71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中立</w:t>
            </w:r>
          </w:p>
        </w:tc>
      </w:tr>
      <w:tr>
        <w:trPr>
          <w:tblHeader w:val="false"/>
        </w:trPr>
        <w:tc>
          <w:tcPr>
            <w:tcW w:type="dxa" w:w="2200"/>
            <w:tcBorders>
              <w:top w:val="single" w:color="BFBFBF" w:sz="4"/>
              <w:left w:val="single" w:color="BFBFBF" w:sz="4"/>
              <w:bottom w:val="single" w:color="BFBFBF" w:sz="4"/>
              <w:right w:val="single" w:color="BFBFBF" w:sz="4"/>
            </w:tcBorders>
            <w:shd w:fill="FCE4E4" w:val="clear"/>
            <w:tcMar>
              <w:top w:type="dxa" w:w="60"/>
              <w:left w:type="dxa" w:w="120"/>
              <w:bottom w:type="dxa" w:w="60"/>
              <w:right w:type="dxa" w:w="120"/>
            </w:tcMar>
            <w:vAlign w:val="center"/>
          </w:tcPr>
          <w:p>
            <w:r>
              <w:rPr>
                <w:b w:val="false"/>
                <w:bCs w:val="false"/>
                <w:sz w:val="19"/>
                <w:szCs w:val="19"/>
              </w:rPr>
              <w:t xml:space="preserve">45未満</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相対的に弱い</w:t>
            </w:r>
          </w:p>
        </w:tc>
      </w:tr>
    </w:tbl>
    <w:p>
      <w:r>
        <w:br w:type="page"/>
      </w:r>
    </w:p>
    <w:p>
      <w:pPr>
        <w:pStyle w:val="Heading1"/>
      </w:pPr>
      <w:r>
        <w:t xml:space="preserve">8. 代表銘柄ランキング（top_n_per_segment）</w:t>
      </w:r>
    </w:p>
    <w:p>
      <w:pPr>
        <w:spacing w:after="120" w:line="288"/>
      </w:pPr>
      <w:r>
        <w:rPr>
          <w:sz w:val="21"/>
          <w:szCs w:val="21"/>
        </w:rPr>
        <w:t xml:space="preserve">各セグメント内で総合スコアの降順に上位n社（既定10社）を抽出する。</w:t>
      </w:r>
    </w:p>
    <w:p>
      <w:pPr>
        <w:pStyle w:val="ListParagraph"/>
        <w:numPr>
          <w:ilvl w:val="0"/>
          <w:numId w:val="2"/>
        </w:numPr>
        <w:spacing w:after="60" w:line="276"/>
      </w:pPr>
      <w:r>
        <w:rPr>
          <w:b/>
          <w:bCs/>
          <w:sz w:val="21"/>
          <w:szCs w:val="21"/>
        </w:rPr>
        <w:t xml:space="preserve">入力</w:t>
      </w:r>
      <w:r>
        <w:rPr>
          <w:sz w:val="21"/>
          <w:szCs w:val="21"/>
        </w:rPr>
        <w:t xml:space="preserve">：採点済みDataFrame、抽出件数n（既定=10）</w:t>
      </w:r>
    </w:p>
    <w:p>
      <w:pPr>
        <w:pStyle w:val="ListParagraph"/>
        <w:numPr>
          <w:ilvl w:val="0"/>
          <w:numId w:val="2"/>
        </w:numPr>
        <w:spacing w:after="60" w:line="276"/>
      </w:pPr>
      <w:r>
        <w:rPr>
          <w:b/>
          <w:bCs/>
          <w:sz w:val="21"/>
          <w:szCs w:val="21"/>
        </w:rPr>
        <w:t xml:space="preserve">処理</w:t>
      </w:r>
      <w:r>
        <w:rPr>
          <w:sz w:val="21"/>
          <w:szCs w:val="21"/>
        </w:rPr>
        <w:t xml:space="preserve">：セグメントごとにscore降順ソート → 上位n件抽出</w:t>
      </w:r>
    </w:p>
    <w:p>
      <w:pPr>
        <w:pStyle w:val="ListParagraph"/>
        <w:numPr>
          <w:ilvl w:val="0"/>
          <w:numId w:val="2"/>
        </w:numPr>
        <w:spacing w:after="60" w:line="276"/>
      </w:pPr>
      <w:r>
        <w:rPr>
          <w:b/>
          <w:bCs/>
          <w:sz w:val="21"/>
          <w:szCs w:val="21"/>
        </w:rPr>
        <w:t xml:space="preserve">出力</w:t>
      </w:r>
      <w:r>
        <w:rPr>
          <w:sz w:val="21"/>
          <w:szCs w:val="21"/>
        </w:rPr>
        <w:t xml:space="preserve">：セグメント名をキーとした上位銘柄DataFrameの辞書</w:t>
      </w:r>
    </w:p>
    <w:p>
      <w:pPr>
        <w:spacing w:after="80"/>
      </w:pPr>
      <w:r>
        <w:t xml:space="preserve"/>
      </w:r>
    </w:p>
    <w:p>
      <w:pPr>
        <w:spacing w:after="120" w:line="288"/>
      </w:pPr>
      <w:r>
        <w:rPr>
          <w:b/>
          <w:bCs/>
          <w:color w:val="1F4E79"/>
          <w:sz w:val="21"/>
          <w:szCs w:val="21"/>
        </w:rPr>
        <w:t xml:space="preserve">選定基準の推奨（実装時の指針）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方式</w:t>
            </w:r>
          </w:p>
        </w:tc>
        <w:tc>
          <w:tcPr>
            <w:tcW w:type="dxa" w:w="34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母集団の決め方</w:t>
            </w:r>
          </w:p>
        </w:tc>
        <w:tc>
          <w:tcPr>
            <w:tcW w:type="dxa" w:w="33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ランキングの決め方</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推奨ハイブリッド</w:t>
            </w:r>
          </w:p>
        </w:tc>
        <w:tc>
          <w:tcPr>
            <w:tcW w:type="dxa" w:w="3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時価総額上位で400社を固定</w:t>
            </w:r>
          </w:p>
        </w:tc>
        <w:tc>
          <w:tcPr>
            <w:tcW w:type="dxa" w:w="3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スコア上位で各10社を動的抽出</w:t>
            </w:r>
          </w:p>
        </w:tc>
      </w:tr>
    </w:tbl>
    <w:p>
      <w:pPr>
        <w:pBdr>
          <w:top w:val="single" w:color="BFBFBF" w:sz="4"/>
          <w:left w:val="single" w:color="E8A33D" w:sz="18"/>
          <w:bottom w:val="single" w:color="BFBFBF" w:sz="4"/>
          <w:right w:val="single" w:color="BFBFBF" w:sz="4"/>
        </w:pBdr>
        <w:shd w:fill="FFF4E5" w:val="clear"/>
        <w:spacing w:after="60" w:before="60" w:line="276"/>
        <w:ind w:left="140"/>
      </w:pPr>
      <w:r>
        <w:rPr>
          <w:b/>
          <w:bCs/>
          <w:color w:val="E8A33D"/>
          <w:sz w:val="20"/>
          <w:szCs w:val="20"/>
        </w:rPr>
        <w:t xml:space="preserve">【留意】 </w:t>
      </w:r>
      <w:r>
        <w:rPr>
          <w:sz w:val="20"/>
          <w:szCs w:val="20"/>
        </w:rPr>
        <w:t xml:space="preserve">「代表」の定義（時価総額基準／スコア基準／業種分散）を明文化しておくこと。選定の恣意性を排し、後日の検証可能性を担保するため。</w:t>
      </w:r>
    </w:p>
    <w:p>
      <w:r>
        <w:br w:type="page"/>
      </w:r>
    </w:p>
    <w:p>
      <w:pPr>
        <w:pStyle w:val="Heading1"/>
      </w:pPr>
      <w:r>
        <w:t xml:space="preserve">9. パラメータ一覧・制約事項</w:t>
      </w:r>
    </w:p>
    <w:p>
      <w:pPr>
        <w:pStyle w:val="Heading2"/>
      </w:pPr>
      <w:r>
        <w:t xml:space="preserve">9.1 調整対象パラメータ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60"/>
        <w:gridCol w:w="3000"/>
      </w:tblGrid>
      <w:tr>
        <w:trPr>
          <w:tblHeader/>
        </w:trPr>
        <w:tc>
          <w:tcPr>
            <w:tcW w:type="dxa" w:w="19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区分</w:t>
            </w:r>
          </w:p>
        </w:tc>
        <w:tc>
          <w:tcPr>
            <w:tcW w:type="dxa" w:w="44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パラメータ</w:t>
            </w:r>
          </w:p>
        </w:tc>
        <w:tc>
          <w:tcPr>
            <w:tcW w:type="dxa" w:w="30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初期値</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正規化</w:t>
            </w:r>
          </w:p>
        </w:tc>
        <w:tc>
          <w:tcPr>
            <w:tcW w:type="dxa" w:w="4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成長率 満点水準</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30%</w:t>
            </w:r>
          </w:p>
        </w:tc>
      </w:tr>
      <w:tr>
        <w:trPr>
          <w:tblHeader w:val="false"/>
        </w:trPr>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正規化</w:t>
            </w:r>
          </w:p>
        </w:tc>
        <w:tc>
          <w:tcPr>
            <w:tcW w:type="dxa" w:w="44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営業利益率 満点水準</w:t>
            </w:r>
          </w:p>
        </w:tc>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25%</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正規化</w:t>
            </w:r>
          </w:p>
        </w:tc>
        <w:tc>
          <w:tcPr>
            <w:tcW w:type="dxa" w:w="4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ROE 満点水準</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20%</w:t>
            </w:r>
          </w:p>
        </w:tc>
      </w:tr>
      <w:tr>
        <w:trPr>
          <w:tblHeader w:val="false"/>
        </w:trPr>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正規化</w:t>
            </w:r>
          </w:p>
        </w:tc>
        <w:tc>
          <w:tcPr>
            <w:tcW w:type="dxa" w:w="44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配当利回り 満点水準</w:t>
            </w:r>
          </w:p>
        </w:tc>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4.0%</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正規化</w:t>
            </w:r>
          </w:p>
        </w:tc>
        <w:tc>
          <w:tcPr>
            <w:tcW w:type="dxa" w:w="4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PER 満点/0点</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8倍 / 40倍</w:t>
            </w:r>
          </w:p>
        </w:tc>
      </w:tr>
      <w:tr>
        <w:trPr>
          <w:tblHeader w:val="false"/>
        </w:trPr>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正規化</w:t>
            </w:r>
          </w:p>
        </w:tc>
        <w:tc>
          <w:tcPr>
            <w:tcW w:type="dxa" w:w="44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PBR 満点/0点</w:t>
            </w:r>
          </w:p>
        </w:tc>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0.8倍 / 5.0倍</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強弱合成</w:t>
            </w:r>
          </w:p>
        </w:tc>
        <w:tc>
          <w:tcPr>
            <w:tcW w:type="dxa" w:w="44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モメンタム/流入/ファンダ 重み</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0.40 / 0.30 / 0.30</w:t>
            </w:r>
          </w:p>
        </w:tc>
      </w:tr>
      <w:tr>
        <w:trPr>
          <w:tblHeader w:val="false"/>
        </w:trPr>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ランキング</w:t>
            </w:r>
          </w:p>
        </w:tc>
        <w:tc>
          <w:tcPr>
            <w:tcW w:type="dxa" w:w="44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抽出件数 n</w:t>
            </w:r>
          </w:p>
        </w:tc>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10社</w:t>
            </w:r>
          </w:p>
        </w:tc>
      </w:tr>
    </w:tbl>
    <w:p>
      <w:pPr>
        <w:pStyle w:val="Heading2"/>
      </w:pPr>
      <w:r>
        <w:t xml:space="preserve">9.2 制約事項</w:t>
      </w:r>
    </w:p>
    <w:p>
      <w:pPr>
        <w:pStyle w:val="ListParagraph"/>
        <w:numPr>
          <w:ilvl w:val="0"/>
          <w:numId w:val="2"/>
        </w:numPr>
        <w:spacing w:after="60" w:line="276"/>
      </w:pPr>
      <w:r>
        <w:rPr>
          <w:sz w:val="21"/>
          <w:szCs w:val="21"/>
        </w:rPr>
        <w:t xml:space="preserve">正規化しきい値は</w:t>
      </w:r>
      <w:r>
        <w:rPr>
          <w:b/>
          <w:bCs/>
          <w:sz w:val="21"/>
          <w:szCs w:val="21"/>
        </w:rPr>
        <w:t xml:space="preserve">経験則の初期値</w:t>
      </w:r>
      <w:r>
        <w:rPr>
          <w:sz w:val="21"/>
          <w:szCs w:val="21"/>
        </w:rPr>
        <w:t xml:space="preserve">であり、実データ分布での</w:t>
      </w:r>
      <w:r>
        <w:rPr>
          <w:b/>
          <w:bCs/>
          <w:sz w:val="21"/>
          <w:szCs w:val="21"/>
        </w:rPr>
        <w:t xml:space="preserve">キャリブレーションが必須</w:t>
      </w:r>
      <w:r>
        <w:rPr>
          <w:sz w:val="21"/>
          <w:szCs w:val="21"/>
        </w:rPr>
        <w:t xml:space="preserve">。</w:t>
      </w:r>
    </w:p>
    <w:p>
      <w:pPr>
        <w:pStyle w:val="ListParagraph"/>
        <w:numPr>
          <w:ilvl w:val="0"/>
          <w:numId w:val="2"/>
        </w:numPr>
        <w:spacing w:after="60" w:line="276"/>
      </w:pPr>
      <w:r>
        <w:rPr>
          <w:b/>
          <w:bCs/>
          <w:sz w:val="21"/>
          <w:szCs w:val="21"/>
        </w:rPr>
        <w:t xml:space="preserve">信用倍率・アナリスト評価</w:t>
      </w:r>
      <w:r>
        <w:rPr>
          <w:sz w:val="21"/>
          <w:szCs w:val="21"/>
        </w:rPr>
        <w:t xml:space="preserve">は無料データでの入手が困難（任意項目扱い）。</w:t>
      </w:r>
    </w:p>
    <w:p>
      <w:pPr>
        <w:pStyle w:val="ListParagraph"/>
        <w:numPr>
          <w:ilvl w:val="0"/>
          <w:numId w:val="2"/>
        </w:numPr>
        <w:spacing w:after="60" w:line="276"/>
      </w:pPr>
      <w:r>
        <w:rPr>
          <w:sz w:val="21"/>
          <w:szCs w:val="21"/>
        </w:rPr>
        <w:t xml:space="preserve">セグメント区分（大型／中型／小型）の</w:t>
      </w:r>
      <w:r>
        <w:rPr>
          <w:b/>
          <w:bCs/>
          <w:sz w:val="21"/>
          <w:szCs w:val="21"/>
        </w:rPr>
        <w:t xml:space="preserve">定義・銘柄割当は外部で確定</w:t>
      </w:r>
      <w:r>
        <w:rPr>
          <w:sz w:val="21"/>
          <w:szCs w:val="21"/>
        </w:rPr>
        <w:t xml:space="preserve">させる必要がある。</w:t>
      </w:r>
    </w:p>
    <w:p>
      <w:pPr>
        <w:pStyle w:val="ListParagraph"/>
        <w:numPr>
          <w:ilvl w:val="0"/>
          <w:numId w:val="2"/>
        </w:numPr>
        <w:spacing w:after="60" w:line="276"/>
      </w:pPr>
      <w:r>
        <w:rPr>
          <w:sz w:val="21"/>
          <w:szCs w:val="21"/>
        </w:rPr>
        <w:t xml:space="preserve">本エンジンは</w:t>
      </w:r>
      <w:r>
        <w:rPr>
          <w:b/>
          <w:bCs/>
          <w:sz w:val="21"/>
          <w:szCs w:val="21"/>
        </w:rPr>
        <w:t xml:space="preserve">中期の選別用</w:t>
      </w:r>
      <w:r>
        <w:rPr>
          <w:sz w:val="21"/>
          <w:szCs w:val="21"/>
        </w:rPr>
        <w:t xml:space="preserve">であり、売買タイミングは短期シグナルエンジンと併用する。</w:t>
      </w:r>
    </w:p>
    <w:p>
      <w:pPr>
        <w:spacing w:after="160"/>
      </w:pPr>
      <w:r>
        <w:t xml:space="preserve"/>
      </w:r>
    </w:p>
    <w:p>
      <w:pPr>
        <w:pBdr>
          <w:top w:val="single" w:color="BFBFBF" w:sz="4"/>
          <w:left w:val="single" w:color="C0392B" w:sz="18"/>
          <w:bottom w:val="single" w:color="BFBFBF" w:sz="4"/>
          <w:right w:val="single" w:color="BFBFBF" w:sz="4"/>
        </w:pBdr>
        <w:shd w:fill="FCE4E4" w:val="clear"/>
        <w:spacing w:after="60" w:before="60" w:line="276"/>
        <w:ind w:left="140"/>
      </w:pPr>
      <w:r>
        <w:rPr>
          <w:b/>
          <w:bCs/>
          <w:color w:val="C0392B"/>
          <w:sz w:val="20"/>
          <w:szCs w:val="20"/>
        </w:rPr>
        <w:t xml:space="preserve">【免責】 </w:t>
      </w:r>
      <w:r>
        <w:rPr>
          <w:sz w:val="20"/>
          <w:szCs w:val="20"/>
        </w:rPr>
        <w:t xml:space="preserve">本エンジンおよび本設計書は投資判断の補助を目的としたものであり、特定銘柄の売買を推奨しない。スコア・順位はロジック検証用であり、実投資は自己責任で、バックテスト検証と損切りルールの徹底を前提とすること。</w:t>
      </w:r>
    </w:p>
    <w:p>
      <w:r>
        <w:br w:type="page"/>
      </w:r>
    </w:p>
    <w:p>
      <w:pPr>
        <w:pStyle w:val="Heading1"/>
      </w:pPr>
      <w:r>
        <w:t xml:space="preserve">改訂履歴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560"/>
        <w:gridCol w:w="140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版数</w:t>
            </w:r>
          </w:p>
        </w:tc>
        <w:tc>
          <w:tcPr>
            <w:tcW w:type="dxa" w:w="22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日付</w:t>
            </w:r>
          </w:p>
        </w:tc>
        <w:tc>
          <w:tcPr>
            <w:tcW w:type="dxa" w:w="45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改訂内容</w:t>
            </w:r>
          </w:p>
        </w:tc>
        <w:tc>
          <w:tcPr>
            <w:tcW w:type="dxa" w:w="14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作成</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1.0</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2026-08-02</w:t>
            </w:r>
          </w:p>
        </w:tc>
        <w:tc>
          <w:tcPr>
            <w:tcW w:type="dxa" w:w="4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初版作成</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 </w:t>
    </w:r>
    <w:r>
      <w:rPr>
        <w:color w:val="808080"/>
        <w:sz w:val="18"/>
        <w:szCs w:val="18"/>
      </w:rPr>
      <w:fldChar w:fldCharType="begin"/>
      <w:instrText xml:space="preserve">PAGE</w:instrText>
      <w:fldChar w:fldCharType="separate"/>
      <w:fldChar w:fldCharType="end"/>
    </w:r>
    <w:r>
      <w:rPr>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808080"/>
        <w:sz w:val="16"/>
        <w:szCs w:val="16"/>
      </w:rPr>
      <w:t xml:space="preserve">日本株 セグメント別スコアリングエンジン ロジック設計書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0"/>
      </w:pBdr>
      <w:spacing w:after="160" w:before="240"/>
      <w:outlineLvl w:val="0"/>
    </w:pPr>
    <w:rPr>
      <w:rFonts w:ascii="Yu Gothic" w:cs="Yu Gothic" w:eastAsia="Yu Gothic" w:hAnsi="Yu Gothic"/>
      <w:b/>
      <w:bCs/>
      <w:color w:val="1F4E79"/>
      <w:sz w:val="30"/>
      <w:szCs w:val="30"/>
    </w:rPr>
  </w:style>
  <w:style w:type="paragraph" w:styleId="Heading2">
    <w:name w:val="Heading 2"/>
    <w:basedOn w:val="Normal"/>
    <w:next w:val="Normal"/>
    <w:qFormat/>
    <w:pPr>
      <w:spacing w:after="120" w:before="200"/>
      <w:outlineLvl w:val="1"/>
    </w:pPr>
    <w:rPr>
      <w:rFonts w:ascii="Yu Gothic" w:cs="Yu Gothic" w:eastAsia="Yu Gothic" w:hAnsi="Yu Gothic"/>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2026-08-02T06:30:23.277Z</dcterms:created>
  <dcterms:modified xsi:type="dcterms:W3CDTF">2026-08-02T06:30:23.277Z</dcterms:modified>
</cp:coreProperties>
</file>

<file path=docProps/custom.xml><?xml version="1.0" encoding="utf-8"?>
<Properties xmlns="http://schemas.openxmlformats.org/officeDocument/2006/custom-properties" xmlns:vt="http://schemas.openxmlformats.org/officeDocument/2006/docPropsVTypes"/>
</file>