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
      </w:pPr>
      <w:r>
        <w:t>VakaLab öğrenci değerlendirme raporu</w:t>
      </w:r>
    </w:p>
    <w:p>
      <w:pPr>
        <w:spacing w:after="120"/>
      </w:pPr>
      <w:r>
        <w:rPr>
          <w:color w:val="283E42"/>
        </w:rPr>
        <w:t xml:space="preserve">SENTETİK CANLI PİLOT · Akranlar arası anlaşmazlık · TEST-OGR-01</w:t>
      </w:r>
    </w:p>
    <w:p>
      <w:pPr>
        <w:spacing w:after="120"/>
      </w:pPr>
      <w:r>
        <w:rPr>
          <w:color w:val="283E42"/>
        </w:rPr>
        <w:t xml:space="preserve">Rubrik: SENTETİK CANLI TEST · Kanıt ve adalet</w:t>
      </w:r>
    </w:p>
    <w:p>
      <w:pPr>
        <w:spacing w:after="120"/>
      </w:pPr>
      <w:r>
        <w:rPr>
          <w:color w:val="283E42"/>
        </w:rPr>
        <w:t xml:space="preserve">Araştırmacı onayıyla sunulmuştur.</w:t>
      </w:r>
    </w:p>
    <w:p>
      <w:pPr>
        <w:keepNext w:val="1"/>
        <w:spacing w:before="180" w:after="120"/>
        <w:shd w:val="clear" w:fill="E6F0E9"/>
      </w:pPr>
      <w:r>
        <w:rPr>
          <w:color w:val="246852"/>
          <w:sz w:val="48"/>
          <w:szCs w:val="48"/>
          <w:b w:val="1"/>
          <w:bCs w:val="1"/>
        </w:rPr>
        <w:t xml:space="preserve">Toplam puan: 23 / 24</w:t>
      </w:r>
    </w:p>
    <w:p>
      <w:pPr>
        <w:spacing w:after="120"/>
      </w:pPr>
      <w:r>
        <w:rPr>
          <w:color w:val="283E42"/>
        </w:rPr>
        <w:t xml:space="preserve">Toplam puan, başlangıç değerlendirmesi, nihai değerlendirme ve yansıtma puanlarının toplamıdır.</w:t>
      </w:r>
    </w:p>
    <w:tbl>
      <w:tblGrid>
        <w:gridCol w:w="4853" w:type="dxa"/>
        <w:gridCol w:w="4853" w:type="dxa"/>
      </w:tblGrid>
      <w:tblPr>
        <w:tblW w:w="9706" w:type="dxa"/>
        <w:tblLayout w:type="fixed"/>
        <w:tblCellMar>
          <w:top w:w="130" w:type="dxa"/>
          <w:left w:w="130" w:type="dxa"/>
          <w:right w:w="130" w:type="dxa"/>
          <w:bottom w:w="130" w:type="dxa"/>
        </w:tblCellMar>
        <w:tblBorders>
          <w:top w:val="single" w:sz="4" w:color="DCE4DE"/>
          <w:left w:val="single" w:sz="4" w:color="DCE4DE"/>
          <w:right w:val="single" w:sz="4" w:color="DCE4DE"/>
          <w:bottom w:val="single" w:sz="4" w:color="DCE4DE"/>
          <w:insideH w:val="single" w:sz="4" w:color="DCE4DE"/>
          <w:insideV w:val="single" w:sz="4" w:color="DCE4DE"/>
        </w:tblBorders>
      </w:tblPr>
      <w:tr>
        <w:trPr>
          <w:tblHeader w:val="1"/>
          <w:cantSplit w:val="1"/>
        </w:trPr>
        <w:tc>
          <w:tcPr>
            <w:tcW w:w="4853" w:type="dxa"/>
            <w:vAlign w:val="center"/>
            <w:shd w:val="clear" w:fill="E6F0E9"/>
            <w:noWrap/>
          </w:tcPr>
          <w:p>
            <w:pPr>
              <w:spacing w:before="30" w:after="30"/>
            </w:pPr>
            <w:r>
              <w:rPr>
                <w:color w:val="183B40"/>
                <w:b w:val="1"/>
                <w:bCs w:val="1"/>
              </w:rPr>
              <w:t xml:space="preserve">Değerlendirme bölümü</w:t>
            </w:r>
          </w:p>
        </w:tc>
        <w:tc>
          <w:tcPr>
            <w:tcW w:w="4853" w:type="dxa"/>
            <w:vAlign w:val="center"/>
            <w:shd w:val="clear" w:fill="E6F0E9"/>
            <w:noWrap/>
          </w:tcPr>
          <w:p>
            <w:pPr>
              <w:spacing w:before="30" w:after="30"/>
            </w:pPr>
            <w:r>
              <w:rPr>
                <w:color w:val="183B40"/>
                <w:b w:val="1"/>
                <w:bCs w:val="1"/>
              </w:rPr>
              <w:t xml:space="preserve">Alınan puan / En yüksek puan</w:t>
            </w:r>
          </w:p>
        </w:tc>
      </w:tr>
      <w:tr>
        <w:trPr>
          <w:cantSplit w:val="1"/>
        </w:trPr>
        <w:tc>
          <w:tcPr>
            <w:tcW w:w="4853" w:type="dxa"/>
            <w:vAlign w:val="center"/>
            <w:shd w:val="clear" w:fill="FFFFFF"/>
            <w:noWrap/>
          </w:tcPr>
          <w:p>
            <w:pPr>
              <w:spacing w:before="30" w:after="30"/>
            </w:pPr>
            <w:r>
              <w:rPr>
                <w:color w:val="183B40"/>
                <w:b w:val="0"/>
                <w:bCs w:val="0"/>
              </w:rPr>
              <w:t xml:space="preserve">Başlangıç değerlendirmesi</w:t>
            </w:r>
          </w:p>
        </w:tc>
        <w:tc>
          <w:tcPr>
            <w:tcW w:w="4853" w:type="dxa"/>
            <w:vAlign w:val="center"/>
            <w:shd w:val="clear" w:fill="FFFFFF"/>
            <w:noWrap/>
          </w:tcPr>
          <w:p>
            <w:pPr>
              <w:spacing w:before="30" w:after="30"/>
            </w:pPr>
            <w:r>
              <w:rPr>
                <w:color w:val="183B40"/>
                <w:b w:val="0"/>
                <w:bCs w:val="0"/>
              </w:rPr>
              <w:t xml:space="preserve">12 / 12</w:t>
            </w:r>
          </w:p>
        </w:tc>
      </w:tr>
      <w:tr>
        <w:trPr>
          <w:cantSplit w:val="1"/>
        </w:trPr>
        <w:tc>
          <w:tcPr>
            <w:tcW w:w="4853" w:type="dxa"/>
            <w:vAlign w:val="center"/>
            <w:shd w:val="clear" w:fill="FFFFFF"/>
            <w:noWrap/>
          </w:tcPr>
          <w:p>
            <w:pPr>
              <w:spacing w:before="30" w:after="30"/>
            </w:pPr>
            <w:r>
              <w:rPr>
                <w:color w:val="183B40"/>
                <w:b w:val="0"/>
                <w:bCs w:val="0"/>
              </w:rPr>
              <w:t xml:space="preserve">Nihai değerlendirme</w:t>
            </w:r>
          </w:p>
        </w:tc>
        <w:tc>
          <w:tcPr>
            <w:tcW w:w="4853" w:type="dxa"/>
            <w:vAlign w:val="center"/>
            <w:shd w:val="clear" w:fill="FFFFFF"/>
            <w:noWrap/>
          </w:tcPr>
          <w:p>
            <w:pPr>
              <w:spacing w:before="30" w:after="30"/>
            </w:pPr>
            <w:r>
              <w:rPr>
                <w:color w:val="183B40"/>
                <w:b w:val="0"/>
                <w:bCs w:val="0"/>
              </w:rPr>
              <w:t xml:space="preserve">8 / 8</w:t>
            </w:r>
          </w:p>
        </w:tc>
      </w:tr>
      <w:tr>
        <w:trPr>
          <w:cantSplit w:val="1"/>
        </w:trPr>
        <w:tc>
          <w:tcPr>
            <w:tcW w:w="4853" w:type="dxa"/>
            <w:vAlign w:val="center"/>
            <w:shd w:val="clear" w:fill="FFFFFF"/>
            <w:noWrap/>
          </w:tcPr>
          <w:p>
            <w:pPr>
              <w:spacing w:before="30" w:after="30"/>
            </w:pPr>
            <w:r>
              <w:rPr>
                <w:color w:val="183B40"/>
                <w:b w:val="0"/>
                <w:bCs w:val="0"/>
              </w:rPr>
              <w:t xml:space="preserve">Yansıtma</w:t>
            </w:r>
          </w:p>
        </w:tc>
        <w:tc>
          <w:tcPr>
            <w:tcW w:w="4853" w:type="dxa"/>
            <w:vAlign w:val="center"/>
            <w:shd w:val="clear" w:fill="FFFFFF"/>
            <w:noWrap/>
          </w:tcPr>
          <w:p>
            <w:pPr>
              <w:spacing w:before="30" w:after="30"/>
            </w:pPr>
            <w:r>
              <w:rPr>
                <w:color w:val="183B40"/>
                <w:b w:val="0"/>
                <w:bCs w:val="0"/>
              </w:rPr>
              <w:t xml:space="preserve">3 / 4</w:t>
            </w:r>
          </w:p>
        </w:tc>
      </w:tr>
    </w:tbl>
    <w:p>
      <w:pPr>
        <w:spacing w:before="0" w:after="0" w:line="96" w:lineRule="auto"/>
      </w:pPr>
      <w:pPr/>
    </w:p>
    <w:p>
      <w:pPr>
        <w:spacing w:after="120"/>
      </w:pPr>
      <w:r>
        <w:rPr>
          <w:color w:val="283E42"/>
        </w:rPr>
        <w:t xml:space="preserve">Puanlar alınan puan / en yüksek puan biçiminde gösterilir. Öğrenci yanıtı, teslim edilen metindir; değerlendirme yorumu ise bu yanıta ilişkin geri bildirimdir.</w:t>
      </w:r>
    </w:p>
    <w:p>
      <w:pPr>
        <w:pStyle w:val="Heading1"/>
      </w:pPr>
      <w:bookmarkStart w:id="0" w:name="_Toc1"/>
      <w:r>
        <w:t>Profil değişimine ilişkin değerlendirme yorumu</w:t>
      </w:r>
      <w:bookmarkEnd w:id="0"/>
    </w:p>
    <w:p>
      <w:pPr>
        <w:spacing w:after="120"/>
      </w:pPr>
      <w:r>
        <w:rPr>
          <w:color w:val="283E42"/>
        </w:rPr>
        <w:t xml:space="preserve">Başlangıç ve nihai profilde yalnızca ölçülen değişimi yorumlarım. Ön bilgi alanında nihai değer ölçülmediğinden karşılaştırma yapılamadı. Güven alanında başlangıç 5, nihai 6 olarak ölçüldü; değişim 1 olarak kaydedildi. Algılanan zorluk alanında nihai değer ölçülmediğinden karşılaştırma yapılamadı. Algılanan ciddiyet alanında başlangıç 6, nihai 7 olarak ölçüldü; değişim 1 olarak kaydedildi.</w:t>
      </w:r>
    </w:p>
    <w:p>
      <w:pPr>
        <w:pStyle w:val="Heading1"/>
      </w:pPr>
      <w:bookmarkStart w:id="1" w:name="_Toc2"/>
      <w:r>
        <w:t>Başlangıç değerlendirmesi</w:t>
      </w:r>
      <w:bookmarkEnd w:id="1"/>
    </w:p>
    <w:p>
      <w:pPr>
        <w:keepNext w:val="1"/>
        <w:spacing w:before="100" w:after="120"/>
      </w:pPr>
      <w:r>
        <w:rPr>
          <w:color w:val="000000"/>
          <w:sz w:val="22"/>
          <w:szCs w:val="22"/>
          <w:b w:val="1"/>
          <w:bCs w:val="1"/>
        </w:rPr>
        <w:t xml:space="preserve">Soru: Bu vakadaki temel problemi nasıl değerlendiriyorsunuz?</w:t>
      </w:r>
    </w:p>
    <w:p>
      <w:pPr>
        <w:keepNext w:val="1"/>
        <w:spacing w:before="100" w:after="120"/>
      </w:pPr>
      <w:r>
        <w:rPr>
          <w:color w:val="000000"/>
          <w:sz w:val="22"/>
          <w:szCs w:val="22"/>
          <w:b w:val="1"/>
          <w:bCs w:val="1"/>
        </w:rPr>
        <w:t xml:space="preserve">Öğrenci yanıtı</w:t>
      </w:r>
    </w:p>
    <w:p>
      <w:pPr>
        <w:keepNext w:val="1"/>
        <w:ind w:left="140" w:right="140" w:firstLine="0" w:hanging="0"/>
        <w:spacing w:after="120"/>
        <w:shd w:val="clear" w:fill="F3F5F7"/>
      </w:pPr>
      <w:r>
        <w:rPr>
          <w:color w:val="283E42"/>
        </w:rPr>
        <w:t xml:space="preserve">Temel sorun, iki öğrencinin birbiriyle çelişen anlatımlarının sınıfa yayılmasıdır. Öğretmen olaya tanık olmadığı için kimin haklı olduğuna hemen karar vermek adaletsiz bir yargıya yol açabilir.</w:t>
      </w:r>
    </w:p>
    <w:p>
      <w:pPr>
        <w:keepNext w:val="1"/>
        <w:spacing w:after="120"/>
        <w:shd w:val="clear" w:fill="E6F0E9"/>
      </w:pPr>
      <w:r>
        <w:rPr>
          <w:color w:val="246852"/>
          <w:sz w:val="22"/>
          <w:szCs w:val="22"/>
          <w:b w:val="1"/>
          <w:bCs w:val="1"/>
        </w:rPr>
        <w:t xml:space="preserve">Bu sorudan alınan puan: 4 / 4 puan</w:t>
      </w:r>
    </w:p>
    <w:p>
      <w:pPr>
        <w:keepNext w:val="1"/>
        <w:spacing w:before="100" w:after="120"/>
      </w:pPr>
      <w:r>
        <w:rPr>
          <w:color w:val="000000"/>
          <w:sz w:val="22"/>
          <w:szCs w:val="22"/>
          <w:b w:val="1"/>
          <w:bCs w:val="1"/>
        </w:rPr>
        <w:t xml:space="preserve">Değerlendirme yorumu</w:t>
      </w:r>
    </w:p>
    <w:p>
      <w:pPr>
        <w:ind w:left="140" w:right="140" w:firstLine="0" w:hanging="0"/>
        <w:spacing w:after="120"/>
        <w:shd w:val="clear" w:fill="FFF8E9"/>
      </w:pPr>
      <w:r>
        <w:rPr>
          <w:color w:val="283E42"/>
        </w:rPr>
        <w:t xml:space="preserve">Temel problemi çelişen anlatımların sınıfa yayılmasıyla ilişkilendirmiş, öğretmenin tanık olmamasının erken hükmü adaletsiz kılabileceğini açıklamışsınız. Yanıtınız bu sorunun kapsamında her iki ölçütün açık düzeyini karşılıyor.</w:t>
      </w:r>
    </w:p>
    <w:p>
      <w:pPr>
        <w:keepNext w:val="1"/>
        <w:spacing w:before="100" w:after="120"/>
      </w:pPr>
      <w:r>
        <w:rPr>
          <w:color w:val="000000"/>
          <w:sz w:val="22"/>
          <w:szCs w:val="22"/>
          <w:b w:val="1"/>
          <w:bCs w:val="1"/>
        </w:rPr>
        <w:t xml:space="preserve">Soru: Kararınız nedir?</w:t>
      </w:r>
    </w:p>
    <w:p>
      <w:pPr>
        <w:keepNext w:val="1"/>
        <w:spacing w:before="100" w:after="120"/>
      </w:pPr>
      <w:r>
        <w:rPr>
          <w:color w:val="000000"/>
          <w:sz w:val="22"/>
          <w:szCs w:val="22"/>
          <w:b w:val="1"/>
          <w:bCs w:val="1"/>
        </w:rPr>
        <w:t xml:space="preserve">Öğrenci yanıtı</w:t>
      </w:r>
    </w:p>
    <w:p>
      <w:pPr>
        <w:keepNext w:val="1"/>
        <w:ind w:left="140" w:right="140" w:firstLine="0" w:hanging="0"/>
        <w:spacing w:after="120"/>
        <w:shd w:val="clear" w:fill="F3F5F7"/>
      </w:pPr>
      <w:r>
        <w:rPr>
          <w:color w:val="283E42"/>
        </w:rPr>
        <w:t xml:space="preserve">Önce tartışmanın sürmesini durdurup güvenliği sağlarım; ardından iki öğrenciyi ayrı ayrı ve yargılamadan dinler, ortak ve çelişen noktaları kaydederim.</w:t>
      </w:r>
    </w:p>
    <w:p>
      <w:pPr>
        <w:keepNext w:val="1"/>
        <w:spacing w:after="120"/>
        <w:shd w:val="clear" w:fill="E6F0E9"/>
      </w:pPr>
      <w:r>
        <w:rPr>
          <w:color w:val="246852"/>
          <w:sz w:val="22"/>
          <w:szCs w:val="22"/>
          <w:b w:val="1"/>
          <w:bCs w:val="1"/>
        </w:rPr>
        <w:t xml:space="preserve">Bu sorudan alınan puan: 4 / 4 puan</w:t>
      </w:r>
    </w:p>
    <w:p>
      <w:pPr>
        <w:keepNext w:val="1"/>
        <w:spacing w:before="100" w:after="120"/>
      </w:pPr>
      <w:r>
        <w:rPr>
          <w:color w:val="000000"/>
          <w:sz w:val="22"/>
          <w:szCs w:val="22"/>
          <w:b w:val="1"/>
          <w:bCs w:val="1"/>
        </w:rPr>
        <w:t xml:space="preserve">Değerlendirme yorumu</w:t>
      </w:r>
    </w:p>
    <w:p>
      <w:pPr>
        <w:ind w:left="140" w:right="140" w:firstLine="0" w:hanging="0"/>
        <w:spacing w:after="120"/>
        <w:shd w:val="clear" w:fill="FFF8E9"/>
      </w:pPr>
      <w:r>
        <w:rPr>
          <w:color w:val="283E42"/>
        </w:rPr>
        <w:t xml:space="preserve">Bu yanıt vaka bilgisiyle açık şekilde ilişkilendirilmiş bir karar ve adil dinleme ilkesini gösteriyor. Güvenliği sağladıktan sonra iki öğrenciyi dinleyip ortak ve çelişen noktaları kaydetmeyi önermek, kanıt toplama ve tarafları eşit biçimde değerlendirme becerisini gösterir. Gelecekte, karar gerekçesini güçlendirmek için vaka içinden birkaç somut ayrıntıyı hangi noktayı desteklediğini belirterek netleştirebilir ve hangi adalet ilkesini nasıl uyguladığını daha açık ifade edebilirsin.</w:t>
      </w:r>
    </w:p>
    <w:p>
      <w:pPr>
        <w:keepNext w:val="1"/>
        <w:spacing w:before="100" w:after="120"/>
      </w:pPr>
      <w:r>
        <w:rPr>
          <w:color w:val="000000"/>
          <w:sz w:val="22"/>
          <w:szCs w:val="22"/>
          <w:b w:val="1"/>
          <w:bCs w:val="1"/>
        </w:rPr>
        <w:t xml:space="preserve">Soru: Bu kararı neden veriyorsunuz?</w:t>
      </w:r>
    </w:p>
    <w:p>
      <w:pPr>
        <w:keepNext w:val="1"/>
        <w:spacing w:before="100" w:after="120"/>
      </w:pPr>
      <w:r>
        <w:rPr>
          <w:color w:val="000000"/>
          <w:sz w:val="22"/>
          <w:szCs w:val="22"/>
          <w:b w:val="1"/>
          <w:bCs w:val="1"/>
        </w:rPr>
        <w:t xml:space="preserve">Öğrenci yanıtı</w:t>
      </w:r>
    </w:p>
    <w:p>
      <w:pPr>
        <w:keepNext w:val="1"/>
        <w:ind w:left="140" w:right="140" w:firstLine="0" w:hanging="0"/>
        <w:spacing w:after="120"/>
        <w:shd w:val="clear" w:fill="F3F5F7"/>
      </w:pPr>
      <w:r>
        <w:rPr>
          <w:color w:val="283E42"/>
        </w:rPr>
        <w:t xml:space="preserve">Öğretmenin doğrudan tanık olmaması ve anlatımların farklı olması ek bilgi toplamayı gerektirir. İki tarafı dinlemek, tek bir anlatımı doğru kabul ederek diğer öğrenciyi haksız yere suçlama riskini azaltır.</w:t>
      </w:r>
    </w:p>
    <w:p>
      <w:pPr>
        <w:keepNext w:val="1"/>
        <w:spacing w:after="120"/>
        <w:shd w:val="clear" w:fill="E6F0E9"/>
      </w:pPr>
      <w:r>
        <w:rPr>
          <w:color w:val="246852"/>
          <w:sz w:val="22"/>
          <w:szCs w:val="22"/>
          <w:b w:val="1"/>
          <w:bCs w:val="1"/>
        </w:rPr>
        <w:t xml:space="preserve">Bu sorudan alınan puan: 4 / 4 puan</w:t>
      </w:r>
    </w:p>
    <w:p>
      <w:pPr>
        <w:keepNext w:val="1"/>
        <w:spacing w:before="100" w:after="120"/>
      </w:pPr>
      <w:r>
        <w:rPr>
          <w:color w:val="000000"/>
          <w:sz w:val="22"/>
          <w:szCs w:val="22"/>
          <w:b w:val="1"/>
          <w:bCs w:val="1"/>
        </w:rPr>
        <w:t xml:space="preserve">Değerlendirme yorumu</w:t>
      </w:r>
    </w:p>
    <w:p>
      <w:pPr>
        <w:keepNext w:val="1"/>
        <w:ind w:left="140" w:right="140" w:firstLine="0" w:hanging="0"/>
        <w:spacing w:after="120"/>
        <w:shd w:val="clear" w:fill="FFF8E9"/>
      </w:pPr>
      <w:r>
        <w:rPr>
          <w:color w:val="283E42"/>
        </w:rPr>
        <w:t xml:space="preserve">Bu yanıt her iki ölçüte de açık düzeyde yanıt vererek vaka bilgisine uygun ilişki kurmuş ve adil dinleme gereğini vurgulamıştır. Geliştirme için: kararını destekleyen kanıtları daha somut ifadelerle bağla, hangi belirsizlikleri hangi adımlarla çözdüğünü kısaca adım adım belirt.</w:t>
      </w:r>
    </w:p>
    <w:p>
      <w:pPr>
        <w:spacing w:after="120"/>
        <w:shd w:val="clear" w:fill="E6F0E9"/>
      </w:pPr>
      <w:r>
        <w:rPr>
          <w:color w:val="246852"/>
          <w:sz w:val="22"/>
          <w:szCs w:val="22"/>
          <w:b w:val="1"/>
          <w:bCs w:val="1"/>
        </w:rPr>
        <w:t xml:space="preserve">Bu bölümden alınan toplam puan: 12 / 12 puan (bu bölümdeki soru puanlarının toplamı)</w:t>
      </w:r>
    </w:p>
    <w:p>
      <w:pPr>
        <w:pStyle w:val="Heading1"/>
      </w:pPr>
      <w:bookmarkStart w:id="2" w:name="_Toc3"/>
      <w:r>
        <w:t>Nihai değerlendirme</w:t>
      </w:r>
      <w:bookmarkEnd w:id="2"/>
    </w:p>
    <w:p>
      <w:pPr>
        <w:keepNext w:val="1"/>
        <w:spacing w:before="100" w:after="120"/>
      </w:pPr>
      <w:r>
        <w:rPr>
          <w:color w:val="000000"/>
          <w:sz w:val="22"/>
          <w:szCs w:val="22"/>
          <w:b w:val="1"/>
          <w:bCs w:val="1"/>
        </w:rPr>
        <w:t xml:space="preserve">Soru: Nihai kararınız nedir?</w:t>
      </w:r>
    </w:p>
    <w:p>
      <w:pPr>
        <w:keepNext w:val="1"/>
        <w:spacing w:before="100" w:after="120"/>
      </w:pPr>
      <w:r>
        <w:rPr>
          <w:color w:val="000000"/>
          <w:sz w:val="22"/>
          <w:szCs w:val="22"/>
          <w:b w:val="1"/>
          <w:bCs w:val="1"/>
        </w:rPr>
        <w:t xml:space="preserve">Öğrenci yanıtı</w:t>
      </w:r>
    </w:p>
    <w:p>
      <w:pPr>
        <w:keepNext w:val="1"/>
        <w:ind w:left="140" w:right="140" w:firstLine="0" w:hanging="0"/>
        <w:spacing w:after="120"/>
        <w:shd w:val="clear" w:fill="F3F5F7"/>
      </w:pPr>
      <w:r>
        <w:rPr>
          <w:color w:val="283E42"/>
        </w:rPr>
        <w:t xml:space="preserve">Öğrencileri ayrı ayrı dinleyip iki anlatımı karşılaştırırım. Ortak ve çelişen bilgileri kaydeder, suçlayıcı hüküm vermeden önce doğrulanabilecek bilgileri toplarım. Güvenli koşullar oluşursa ortak görüşmede her iki öğrencinin de söz almasını sağlarım.</w:t>
      </w:r>
    </w:p>
    <w:p>
      <w:pPr>
        <w:keepNext w:val="1"/>
        <w:spacing w:after="120"/>
        <w:shd w:val="clear" w:fill="E6F0E9"/>
      </w:pPr>
      <w:r>
        <w:rPr>
          <w:color w:val="246852"/>
          <w:sz w:val="22"/>
          <w:szCs w:val="22"/>
          <w:b w:val="1"/>
          <w:bCs w:val="1"/>
        </w:rPr>
        <w:t xml:space="preserve">Bu sorudan alınan puan: 4 / 4 puan</w:t>
      </w:r>
    </w:p>
    <w:p>
      <w:pPr>
        <w:keepNext w:val="1"/>
        <w:spacing w:before="100" w:after="120"/>
      </w:pPr>
      <w:r>
        <w:rPr>
          <w:color w:val="000000"/>
          <w:sz w:val="22"/>
          <w:szCs w:val="22"/>
          <w:b w:val="1"/>
          <w:bCs w:val="1"/>
        </w:rPr>
        <w:t xml:space="preserve">Değerlendirme yorumu</w:t>
      </w:r>
    </w:p>
    <w:p>
      <w:pPr>
        <w:ind w:left="140" w:right="140" w:firstLine="0" w:hanging="0"/>
        <w:spacing w:after="120"/>
        <w:shd w:val="clear" w:fill="FFF8E9"/>
      </w:pPr>
      <w:r>
        <w:rPr>
          <w:color w:val="283E42"/>
        </w:rPr>
        <w:t xml:space="preserve">Bu yanıt, vaka bağlamını açıkça ele alıyor: iki anlatımı dinleyip karşılaştırmayı ve güvenli koşullarda ortak çalışmayı öne sürüyor. Puan, bu unsurların vaka ile doğrudan ilişkisini gösterdiği için uygundur. Geliştirme için, karar sürecinin adımlarını daha somut örneklerle açıklayabilir; hangi bilgiler hangi adımlarda doğrulanacak, belirsizlikler nasıl ele alınacak ve ortak görüşme nasıl güvenli ve adil bir ortamda gerçekleştirilecek gibi ayrıntıları ekleyebilirsin.</w:t>
      </w:r>
    </w:p>
    <w:p>
      <w:pPr>
        <w:keepNext w:val="1"/>
        <w:spacing w:before="100" w:after="120"/>
      </w:pPr>
      <w:r>
        <w:rPr>
          <w:color w:val="000000"/>
          <w:sz w:val="22"/>
          <w:szCs w:val="22"/>
          <w:b w:val="1"/>
          <w:bCs w:val="1"/>
        </w:rPr>
        <w:t xml:space="preserve">Soru: Nihai kararınızın gerekçesi nedir?</w:t>
      </w:r>
    </w:p>
    <w:p>
      <w:pPr>
        <w:keepNext w:val="1"/>
        <w:spacing w:before="100" w:after="120"/>
      </w:pPr>
      <w:r>
        <w:rPr>
          <w:color w:val="000000"/>
          <w:sz w:val="22"/>
          <w:szCs w:val="22"/>
          <w:b w:val="1"/>
          <w:bCs w:val="1"/>
        </w:rPr>
        <w:t xml:space="preserve">Öğrenci yanıtı</w:t>
      </w:r>
    </w:p>
    <w:p>
      <w:pPr>
        <w:keepNext w:val="1"/>
        <w:ind w:left="140" w:right="140" w:firstLine="0" w:hanging="0"/>
        <w:spacing w:after="120"/>
        <w:shd w:val="clear" w:fill="F3F5F7"/>
      </w:pPr>
      <w:r>
        <w:rPr>
          <w:color w:val="283E42"/>
        </w:rPr>
        <w:t xml:space="preserve">Öğretmen olayın doğrudan tanığı olmadığı için yalnız bir öğrencinin anlatımına dayanarak yaptırım uygulamak adil olmayabilir. Her iki öğrencinin görüşünü almak ve anlatımları karşılaştırmak, belirsizliği azaltan daha temkinli bir karar süreci sağlar.</w:t>
      </w:r>
    </w:p>
    <w:p>
      <w:pPr>
        <w:keepNext w:val="1"/>
        <w:spacing w:after="120"/>
        <w:shd w:val="clear" w:fill="E6F0E9"/>
      </w:pPr>
      <w:r>
        <w:rPr>
          <w:color w:val="246852"/>
          <w:sz w:val="22"/>
          <w:szCs w:val="22"/>
          <w:b w:val="1"/>
          <w:bCs w:val="1"/>
        </w:rPr>
        <w:t xml:space="preserve">Bu sorudan alınan puan: 4 / 4 puan</w:t>
      </w:r>
    </w:p>
    <w:p>
      <w:pPr>
        <w:keepNext w:val="1"/>
        <w:spacing w:before="100" w:after="120"/>
      </w:pPr>
      <w:r>
        <w:rPr>
          <w:color w:val="000000"/>
          <w:sz w:val="22"/>
          <w:szCs w:val="22"/>
          <w:b w:val="1"/>
          <w:bCs w:val="1"/>
        </w:rPr>
        <w:t xml:space="preserve">Değerlendirme yorumu</w:t>
      </w:r>
    </w:p>
    <w:p>
      <w:pPr>
        <w:keepNext w:val="1"/>
        <w:ind w:left="140" w:right="140" w:firstLine="0" w:hanging="0"/>
        <w:spacing w:after="120"/>
        <w:shd w:val="clear" w:fill="FFF8E9"/>
      </w:pPr>
      <w:r>
        <w:rPr>
          <w:color w:val="283E42"/>
        </w:rPr>
        <w:t xml:space="preserve">Bu yanıt, kararın adaletli olması için iki tarafın dinlenmesi gerektiğini ve olayın doğrudan tanıkları olmadığında tek bir anlatı üzerinden karar vermemenin önemini açıkça belirtmiştir. Geliştirme olarak, yanıtına somut adımlar ekleyerek hangi kanıtları hangi tarafların anlatımlarıyla karşılaştıracağını belirtebilirsin.</w:t>
      </w:r>
    </w:p>
    <w:p>
      <w:pPr>
        <w:spacing w:after="120"/>
        <w:shd w:val="clear" w:fill="E6F0E9"/>
      </w:pPr>
      <w:r>
        <w:rPr>
          <w:color w:val="246852"/>
          <w:sz w:val="22"/>
          <w:szCs w:val="22"/>
          <w:b w:val="1"/>
          <w:bCs w:val="1"/>
        </w:rPr>
        <w:t xml:space="preserve">Bu bölümden alınan toplam puan: 8 / 8 puan (bu bölümdeki soru puanlarının toplamı)</w:t>
      </w:r>
    </w:p>
    <w:p>
      <w:pPr>
        <w:pStyle w:val="Heading1"/>
      </w:pPr>
      <w:bookmarkStart w:id="3" w:name="_Toc4"/>
      <w:r>
        <w:t>Yansıtma</w:t>
      </w:r>
      <w:bookmarkEnd w:id="3"/>
    </w:p>
    <w:p>
      <w:pPr>
        <w:keepNext w:val="1"/>
        <w:spacing w:before="100" w:after="120"/>
      </w:pPr>
      <w:r>
        <w:rPr>
          <w:color w:val="000000"/>
          <w:sz w:val="22"/>
          <w:szCs w:val="22"/>
          <w:b w:val="1"/>
          <w:bCs w:val="1"/>
        </w:rPr>
        <w:t xml:space="preserve">Soru: AI ile etkileşiminiz nihai kararınızı nasıl etkiledi? Hangi öneriyi kabul ettiniz, değiştirdiniz veya reddettiniz? Neden?</w:t>
      </w:r>
    </w:p>
    <w:p>
      <w:pPr>
        <w:keepNext w:val="1"/>
        <w:spacing w:before="100" w:after="120"/>
      </w:pPr>
      <w:r>
        <w:rPr>
          <w:color w:val="000000"/>
          <w:sz w:val="22"/>
          <w:szCs w:val="22"/>
          <w:b w:val="1"/>
          <w:bCs w:val="1"/>
        </w:rPr>
        <w:t xml:space="preserve">Öğrenci yanıtı</w:t>
      </w:r>
    </w:p>
    <w:p>
      <w:pPr>
        <w:keepNext w:val="1"/>
        <w:ind w:left="140" w:right="140" w:firstLine="0" w:hanging="0"/>
        <w:spacing w:after="120"/>
        <w:shd w:val="clear" w:fill="F3F5F7"/>
      </w:pPr>
      <w:r>
        <w:rPr>
          <w:color w:val="283E42"/>
        </w:rPr>
        <w:t xml:space="preserve">Sohbette öğretmenin olaya tanık olup olmadığını sordum ve verilen bilgiyi vaka metniyle karşılaştırdım. Bu doğrulama, başlangıçtaki iki öğrenciyi dinleme kararımı korumama destek oldu. Yeni bir karar önerisi istemedim; nihai kararımın gerekçesini iki anlatımın farklılığı ve doğrudan tanık bilgisinin eksikliği üzerine kendim kurdum.</w:t>
      </w:r>
    </w:p>
    <w:p>
      <w:pPr>
        <w:keepNext w:val="1"/>
        <w:spacing w:after="120"/>
        <w:shd w:val="clear" w:fill="E6F0E9"/>
      </w:pPr>
      <w:r>
        <w:rPr>
          <w:color w:val="246852"/>
          <w:sz w:val="22"/>
          <w:szCs w:val="22"/>
          <w:b w:val="1"/>
          <w:bCs w:val="1"/>
        </w:rPr>
        <w:t xml:space="preserve">Bu sorudan alınan puan: 3 / 4 puan</w:t>
      </w:r>
    </w:p>
    <w:p>
      <w:pPr>
        <w:keepNext w:val="1"/>
        <w:spacing w:before="100" w:after="120"/>
      </w:pPr>
      <w:r>
        <w:rPr>
          <w:color w:val="000000"/>
          <w:sz w:val="22"/>
          <w:szCs w:val="22"/>
          <w:b w:val="1"/>
          <w:bCs w:val="1"/>
        </w:rPr>
        <w:t xml:space="preserve">Değerlendirme yorumu</w:t>
      </w:r>
    </w:p>
    <w:p>
      <w:pPr>
        <w:keepNext w:val="1"/>
        <w:ind w:left="140" w:right="140" w:firstLine="0" w:hanging="0"/>
        <w:spacing w:after="120"/>
        <w:shd w:val="clear" w:fill="FFF8E9"/>
      </w:pPr>
      <w:r>
        <w:rPr>
          <w:color w:val="283E42"/>
        </w:rPr>
        <w:t xml:space="preserve">Bu yanıt için vaka bilgisiyle ilişki kurma ve adalet odaklı bakış açılarını ele alma yönleri değerlidir; ancak taraflar arasındaki perspektifleri tam olarak adil bir çerçevede bağdaştırmak için iyileştirme yapılabilir. Gelecek çalışmada her iki anlatımı karşılaştırırken hangi unsurların hangi yanıtı desteklediğini net maddeler halinde belirt ve adil karar gereğini somut bir örnekle göstermen faydalı olur.</w:t>
      </w:r>
    </w:p>
    <w:p>
      <w:pPr>
        <w:spacing w:after="120"/>
        <w:shd w:val="clear" w:fill="E6F0E9"/>
      </w:pPr>
      <w:r>
        <w:rPr>
          <w:color w:val="246852"/>
          <w:sz w:val="22"/>
          <w:szCs w:val="22"/>
          <w:b w:val="1"/>
          <w:bCs w:val="1"/>
        </w:rPr>
        <w:t xml:space="preserve">Bu bölümden alınan toplam puan: 3 / 4 puan (bu bölümdeki soru puanlarının toplamı)</w:t>
      </w:r>
    </w:p>
    <w:sectPr>
      <w:pgSz w:orient="portrait" w:w="11906" w:h="16838"/>
      <w:pgMar w:top="1000" w:right="1100" w:bottom="1000" w:left="11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2"/>
        <w:szCs w:val="22"/>
        <w:lang w:val="en-US"/>
      </w:rPr>
    </w:rPrDefault>
  </w:docDefaults>
  <w:style w:type="paragraph" w:default="1" w:styleId="Normal">
    <w:name w:val="Normal"/>
    <w:pPr>
      <w:spacing w:after="100" w:line="268.8" w:lineRule="auto"/>
    </w:pPr>
  </w:style>
  <w:style w:type="character" w:styleId="FootnoteReference">
    <w:name w:val="Footnote Reference"/>
    <w:semiHidden/>
    <w:unhideWhenUsed/>
    <w:rPr>
      <w:vertAlign w:val="superscript"/>
    </w:rPr>
  </w:style>
  <w:style w:type="paragraph" w:styleId="Title">
    <w:link w:val="titleChar"/>
    <w:name w:val="title"/>
    <w:basedOn w:val="Normal"/>
    <w:pPr>
      <w:keepNext w:val="1"/>
      <w:spacing w:after="180"/>
    </w:pPr>
    <w:rPr>
      <w:rFonts w:ascii="Calibri" w:hAnsi="Calibri" w:eastAsia="Calibri" w:cs="Calibri"/>
      <w:color w:val="000000"/>
      <w:sz w:val="46"/>
      <w:szCs w:val="46"/>
      <w:b w:val="1"/>
      <w:bCs w:val="1"/>
    </w:rPr>
  </w:style>
  <w:style w:type="paragraph" w:styleId="Heading1">
    <w:link w:val="Heading1Char"/>
    <w:name w:val="heading 1"/>
    <w:basedOn w:val="Normal"/>
    <w:pPr>
      <w:keepNext w:val="1"/>
      <w:spacing w:before="220" w:after="110"/>
    </w:pPr>
    <w:rPr>
      <w:rFonts w:ascii="Calibri" w:hAnsi="Calibri" w:eastAsia="Calibri" w:cs="Calibri"/>
      <w:color w:val="000000"/>
      <w:sz w:val="28"/>
      <w:szCs w:val="28"/>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2026-10-24T18:17:24+00:00</dcterms:created>
  <dcterms:modified xsi:type="dcterms:W3CDTF">2026-10-24T18:17:24+00:00</dcterms:modified>
</cp:coreProperties>
</file>

<file path=docProps/custom.xml><?xml version="1.0" encoding="utf-8"?>
<Properties xmlns="http://schemas.openxmlformats.org/officeDocument/2006/custom-properties" xmlns:vt="http://schemas.openxmlformats.org/officeDocument/2006/docPropsVTypes"/>
</file>