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DE64C" w14:textId="77777777" w:rsidR="005F3E51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F3864"/>
          <w:sz w:val="48"/>
          <w:szCs w:val="48"/>
        </w:rPr>
        <w:t>Hamza Babar</w:t>
      </w:r>
    </w:p>
    <w:p w14:paraId="23C8AAEE" w14:textId="77777777" w:rsidR="005F3E51" w:rsidRDefault="00000000">
      <w:pPr>
        <w:spacing w:after="20"/>
        <w:jc w:val="center"/>
      </w:pPr>
      <w:r>
        <w:rPr>
          <w:rFonts w:ascii="Calibri" w:eastAsia="Calibri" w:hAnsi="Calibri" w:cs="Calibri"/>
          <w:color w:val="444444"/>
          <w:sz w:val="19"/>
          <w:szCs w:val="19"/>
        </w:rPr>
        <w:t xml:space="preserve">London, ON, </w:t>
      </w:r>
      <w:proofErr w:type="gramStart"/>
      <w:r>
        <w:rPr>
          <w:rFonts w:ascii="Calibri" w:eastAsia="Calibri" w:hAnsi="Calibri" w:cs="Calibri"/>
          <w:color w:val="444444"/>
          <w:sz w:val="19"/>
          <w:szCs w:val="19"/>
        </w:rPr>
        <w:t>Canada  |</w:t>
      </w:r>
      <w:proofErr w:type="gramEnd"/>
      <w:r>
        <w:rPr>
          <w:rFonts w:ascii="Calibri" w:eastAsia="Calibri" w:hAnsi="Calibri" w:cs="Calibri"/>
          <w:color w:val="444444"/>
          <w:sz w:val="19"/>
          <w:szCs w:val="19"/>
        </w:rPr>
        <w:t xml:space="preserve">  437-663-</w:t>
      </w:r>
      <w:proofErr w:type="gramStart"/>
      <w:r>
        <w:rPr>
          <w:rFonts w:ascii="Calibri" w:eastAsia="Calibri" w:hAnsi="Calibri" w:cs="Calibri"/>
          <w:color w:val="444444"/>
          <w:sz w:val="19"/>
          <w:szCs w:val="19"/>
        </w:rPr>
        <w:t>6372  |</w:t>
      </w:r>
      <w:proofErr w:type="gramEnd"/>
      <w:r>
        <w:rPr>
          <w:rFonts w:ascii="Calibri" w:eastAsia="Calibri" w:hAnsi="Calibri" w:cs="Calibri"/>
          <w:color w:val="444444"/>
          <w:sz w:val="19"/>
          <w:szCs w:val="19"/>
        </w:rPr>
        <w:t xml:space="preserve">  </w:t>
      </w:r>
      <w:proofErr w:type="gramStart"/>
      <w:r>
        <w:rPr>
          <w:rFonts w:ascii="Calibri" w:eastAsia="Calibri" w:hAnsi="Calibri" w:cs="Calibri"/>
          <w:color w:val="444444"/>
          <w:sz w:val="19"/>
          <w:szCs w:val="19"/>
        </w:rPr>
        <w:t>hkbabar10@gmail.com  |</w:t>
      </w:r>
      <w:proofErr w:type="gramEnd"/>
      <w:r>
        <w:rPr>
          <w:rFonts w:ascii="Calibri" w:eastAsia="Calibri" w:hAnsi="Calibri" w:cs="Calibri"/>
          <w:color w:val="444444"/>
          <w:sz w:val="19"/>
          <w:szCs w:val="19"/>
        </w:rPr>
        <w:t xml:space="preserve">  linkedin.com/in/hamza-khan-</w:t>
      </w:r>
      <w:proofErr w:type="spellStart"/>
      <w:r>
        <w:rPr>
          <w:rFonts w:ascii="Calibri" w:eastAsia="Calibri" w:hAnsi="Calibri" w:cs="Calibri"/>
          <w:color w:val="444444"/>
          <w:sz w:val="19"/>
          <w:szCs w:val="19"/>
        </w:rPr>
        <w:t>babar</w:t>
      </w:r>
      <w:proofErr w:type="spellEnd"/>
    </w:p>
    <w:p w14:paraId="64524493" w14:textId="77777777" w:rsidR="005F3E51" w:rsidRDefault="00000000">
      <w:pPr>
        <w:spacing w:after="40"/>
        <w:jc w:val="center"/>
      </w:pPr>
      <w:r>
        <w:rPr>
          <w:rFonts w:ascii="Calibri" w:eastAsia="Calibri" w:hAnsi="Calibri" w:cs="Calibri"/>
          <w:color w:val="444444"/>
          <w:sz w:val="19"/>
          <w:szCs w:val="19"/>
        </w:rPr>
        <w:t>Canadian Citizen</w:t>
      </w:r>
    </w:p>
    <w:p w14:paraId="431DAC9E" w14:textId="77777777" w:rsidR="005F3E51" w:rsidRDefault="00000000">
      <w:pPr>
        <w:pBdr>
          <w:bottom w:val="single" w:sz="6" w:space="2" w:color="1F3864"/>
        </w:pBdr>
        <w:spacing w:before="160" w:after="60"/>
      </w:pPr>
      <w:r>
        <w:rPr>
          <w:rFonts w:ascii="Calibri" w:eastAsia="Calibri" w:hAnsi="Calibri" w:cs="Calibri"/>
          <w:b/>
          <w:bCs/>
          <w:caps/>
          <w:color w:val="1F3864"/>
          <w:sz w:val="22"/>
          <w:szCs w:val="22"/>
        </w:rPr>
        <w:t>Education</w:t>
      </w:r>
    </w:p>
    <w:p w14:paraId="647414D8" w14:textId="22AD71A2" w:rsidR="005F3E51" w:rsidRDefault="00000000">
      <w:pPr>
        <w:tabs>
          <w:tab w:val="right" w:pos="9360"/>
        </w:tabs>
        <w:spacing w:before="100" w:after="2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Western University</w:t>
      </w:r>
      <w:r w:rsidR="00487508">
        <w:rPr>
          <w:rFonts w:ascii="Calibri" w:eastAsia="Calibri" w:hAnsi="Calibri" w:cs="Calibri"/>
          <w:sz w:val="22"/>
          <w:szCs w:val="22"/>
        </w:rPr>
        <w:t xml:space="preserve">                                                                                                      </w:t>
      </w:r>
      <w:r w:rsidR="001834CD"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color w:val="444444"/>
        </w:rPr>
        <w:t>London, ON</w:t>
      </w:r>
    </w:p>
    <w:p w14:paraId="54508E71" w14:textId="0C5D2454" w:rsidR="005F3E51" w:rsidRDefault="00000000">
      <w:pPr>
        <w:tabs>
          <w:tab w:val="right" w:pos="9360"/>
        </w:tabs>
        <w:spacing w:after="40"/>
      </w:pPr>
      <w:r>
        <w:rPr>
          <w:rFonts w:ascii="Calibri" w:eastAsia="Calibri" w:hAnsi="Calibri" w:cs="Calibri"/>
          <w:i/>
          <w:iCs/>
          <w:color w:val="444444"/>
        </w:rPr>
        <w:t>Bachelor of Science, Computer Science</w:t>
      </w:r>
      <w:r w:rsidR="00487508">
        <w:rPr>
          <w:rFonts w:ascii="Calibri" w:eastAsia="Calibri" w:hAnsi="Calibri" w:cs="Calibri"/>
        </w:rPr>
        <w:t xml:space="preserve">                                                                                            </w:t>
      </w:r>
      <w:r w:rsidR="001834CD"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i/>
          <w:iCs/>
          <w:color w:val="444444"/>
        </w:rPr>
        <w:t>Expected 2027</w:t>
      </w:r>
    </w:p>
    <w:p w14:paraId="31755513" w14:textId="77777777" w:rsidR="005F3E51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000000"/>
        </w:rPr>
        <w:t>Relevant coursework: Software Engineering, Systems Programming, Data Structures, Discrete Structures</w:t>
      </w:r>
    </w:p>
    <w:p w14:paraId="7D4D9370" w14:textId="77777777" w:rsidR="005F3E51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000000"/>
        </w:rPr>
        <w:t>Academic focus: Technology Risk, Information Security, Systems Design, Cloud Computing</w:t>
      </w:r>
    </w:p>
    <w:p w14:paraId="241E3237" w14:textId="77777777" w:rsidR="005F3E51" w:rsidRDefault="00000000">
      <w:pPr>
        <w:pBdr>
          <w:bottom w:val="single" w:sz="6" w:space="2" w:color="1F3864"/>
        </w:pBdr>
        <w:spacing w:before="160" w:after="60"/>
      </w:pPr>
      <w:r>
        <w:rPr>
          <w:rFonts w:ascii="Calibri" w:eastAsia="Calibri" w:hAnsi="Calibri" w:cs="Calibri"/>
          <w:b/>
          <w:bCs/>
          <w:caps/>
          <w:color w:val="1F3864"/>
          <w:sz w:val="22"/>
          <w:szCs w:val="22"/>
        </w:rPr>
        <w:t>Professional Experience</w:t>
      </w:r>
    </w:p>
    <w:p w14:paraId="35792B7E" w14:textId="77777777" w:rsidR="005F3E51" w:rsidRDefault="00000000">
      <w:pPr>
        <w:tabs>
          <w:tab w:val="right" w:pos="9360"/>
        </w:tabs>
        <w:spacing w:before="120" w:after="2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KPMG</w:t>
      </w:r>
      <w:r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color w:val="444444"/>
        </w:rPr>
        <w:t>Dubai, UAE</w:t>
      </w:r>
    </w:p>
    <w:p w14:paraId="04864D81" w14:textId="77777777" w:rsidR="005F3E51" w:rsidRDefault="00000000">
      <w:pPr>
        <w:tabs>
          <w:tab w:val="right" w:pos="9360"/>
        </w:tabs>
        <w:spacing w:after="40"/>
      </w:pPr>
      <w:r>
        <w:rPr>
          <w:rFonts w:ascii="Calibri" w:eastAsia="Calibri" w:hAnsi="Calibri" w:cs="Calibri"/>
          <w:i/>
          <w:iCs/>
          <w:color w:val="444444"/>
        </w:rPr>
        <w:t>Technology Risk &amp; Advisory Intern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i/>
          <w:iCs/>
          <w:color w:val="444444"/>
        </w:rPr>
        <w:t>June 2025 – July 2025</w:t>
      </w:r>
    </w:p>
    <w:p w14:paraId="2F580157" w14:textId="77777777" w:rsidR="005F3E51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000000"/>
        </w:rPr>
        <w:t>Conducted cybersecurity risk assessments for public and private-sector clients, evaluating infrastructure resilience against NIST CSF and ISO 27001 control frameworks, and producing risk registers with prioritized remediation recommendations.</w:t>
      </w:r>
    </w:p>
    <w:p w14:paraId="5E383847" w14:textId="77777777" w:rsidR="005F3E51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000000"/>
        </w:rPr>
        <w:t>Developed GRC documentation assets — including risk-assessment templates, control testing workpapers, and process workflow diagrams — adopted by the team to standardize future project delivery.</w:t>
      </w:r>
    </w:p>
    <w:p w14:paraId="2DD3D52F" w14:textId="77777777" w:rsidR="005F3E51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000000"/>
        </w:rPr>
        <w:t>Contributed to a cloud-readiness and security assessment, mapping legacy application dependencies to future-state architectures and identifying gaps in access control, data classification, and incident response readiness.</w:t>
      </w:r>
    </w:p>
    <w:p w14:paraId="32A63A4D" w14:textId="77777777" w:rsidR="005F3E51" w:rsidRDefault="00000000">
      <w:pPr>
        <w:tabs>
          <w:tab w:val="right" w:pos="9360"/>
        </w:tabs>
        <w:spacing w:before="120" w:after="20"/>
      </w:pPr>
      <w:proofErr w:type="spellStart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iSolution</w:t>
      </w:r>
      <w:proofErr w:type="spellEnd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 – Official Google Cloud Partner</w:t>
      </w:r>
      <w:r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color w:val="444444"/>
        </w:rPr>
        <w:t>Dubai, UAE</w:t>
      </w:r>
    </w:p>
    <w:p w14:paraId="2E1767BA" w14:textId="77777777" w:rsidR="005F3E51" w:rsidRDefault="00000000">
      <w:pPr>
        <w:tabs>
          <w:tab w:val="right" w:pos="9360"/>
        </w:tabs>
        <w:spacing w:after="40"/>
      </w:pPr>
      <w:r>
        <w:rPr>
          <w:rFonts w:ascii="Calibri" w:eastAsia="Calibri" w:hAnsi="Calibri" w:cs="Calibri"/>
          <w:i/>
          <w:iCs/>
          <w:color w:val="444444"/>
        </w:rPr>
        <w:t>Security Operations Center (SOC) Analyst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i/>
          <w:iCs/>
          <w:color w:val="444444"/>
        </w:rPr>
        <w:t>May 2025 – June 2025</w:t>
      </w:r>
    </w:p>
    <w:p w14:paraId="52F3168C" w14:textId="77777777" w:rsidR="005F3E51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000000"/>
        </w:rPr>
        <w:t>Engineered Splunk SIEM dashboards and automated correlation rules to improve alert fidelity, reducing mean time to investigate security incidents across hybrid cloud environments.</w:t>
      </w:r>
    </w:p>
    <w:p w14:paraId="52B4D9BE" w14:textId="77777777" w:rsidR="005F3E51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000000"/>
        </w:rPr>
        <w:t>Supported incident response activities including log analysis, threat validation, and root-cause investigations; documented findings in structured incident reports aligned with client escalation procedures.</w:t>
      </w:r>
    </w:p>
    <w:p w14:paraId="7F12228A" w14:textId="77777777" w:rsidR="005F3E51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000000"/>
        </w:rPr>
        <w:t>Designed a GCP Threat-Hunting Playbook defining detection methodologies, escalation paths, and reporting procedures for cloud-native incidents — later integrated into client-facing security operations documentation.</w:t>
      </w:r>
    </w:p>
    <w:p w14:paraId="75C40423" w14:textId="77777777" w:rsidR="005F3E51" w:rsidRDefault="00000000">
      <w:pPr>
        <w:tabs>
          <w:tab w:val="right" w:pos="9360"/>
        </w:tabs>
        <w:spacing w:before="120" w:after="2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PwC</w:t>
      </w:r>
      <w:r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color w:val="444444"/>
        </w:rPr>
        <w:t>Dubai, UAE</w:t>
      </w:r>
    </w:p>
    <w:p w14:paraId="7BDFA43A" w14:textId="77777777" w:rsidR="005F3E51" w:rsidRDefault="00000000">
      <w:pPr>
        <w:tabs>
          <w:tab w:val="right" w:pos="9360"/>
        </w:tabs>
        <w:spacing w:after="40"/>
      </w:pPr>
      <w:r>
        <w:rPr>
          <w:rFonts w:ascii="Calibri" w:eastAsia="Calibri" w:hAnsi="Calibri" w:cs="Calibri"/>
          <w:i/>
          <w:iCs/>
          <w:color w:val="444444"/>
        </w:rPr>
        <w:t>Technology &amp; Data Advisory Intern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i/>
          <w:iCs/>
          <w:color w:val="444444"/>
        </w:rPr>
        <w:t>May 2024 – June 2024</w:t>
      </w:r>
    </w:p>
    <w:p w14:paraId="4DAC4C77" w14:textId="77777777" w:rsidR="005F3E51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000000"/>
        </w:rPr>
        <w:t>Supported a large-scale digital transformation engagement for ADNOC, conducting process mapping across upstream, downstream, and shared-services operations to identify automation and risk-reduction opportunities.</w:t>
      </w:r>
    </w:p>
    <w:p w14:paraId="65FE53C2" w14:textId="77777777" w:rsidR="005F3E51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000000"/>
        </w:rPr>
        <w:t>Evaluated enterprise system controls across SAP, cloud workloads, and analytics platforms, contributing to recommendations on ADNOC’s digital integration and IT governance roadmap.</w:t>
      </w:r>
    </w:p>
    <w:p w14:paraId="68E03435" w14:textId="77777777" w:rsidR="005F3E51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000000"/>
        </w:rPr>
        <w:t>Prepared weekly KPI dashboards and executive-level reporting packages, improving stakeholder visibility into operational performance, technology risks, and delivery dependencies.</w:t>
      </w:r>
    </w:p>
    <w:p w14:paraId="7C3FC352" w14:textId="77777777" w:rsidR="005F3E51" w:rsidRDefault="00000000">
      <w:pPr>
        <w:pBdr>
          <w:bottom w:val="single" w:sz="6" w:space="2" w:color="1F3864"/>
        </w:pBdr>
        <w:spacing w:before="160" w:after="60"/>
      </w:pPr>
      <w:r>
        <w:rPr>
          <w:rFonts w:ascii="Calibri" w:eastAsia="Calibri" w:hAnsi="Calibri" w:cs="Calibri"/>
          <w:b/>
          <w:bCs/>
          <w:caps/>
          <w:color w:val="1F3864"/>
          <w:sz w:val="22"/>
          <w:szCs w:val="22"/>
        </w:rPr>
        <w:t>Certifications &amp; Professional Development</w:t>
      </w:r>
    </w:p>
    <w:p w14:paraId="35351A79" w14:textId="77777777" w:rsidR="005F3E51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000000"/>
        </w:rPr>
        <w:t>CompTIA Security+ – In Progress</w:t>
      </w:r>
    </w:p>
    <w:p w14:paraId="51456D32" w14:textId="77777777" w:rsidR="005F3E51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000000"/>
        </w:rPr>
        <w:t>AWS Certified Cloud Practitioner – In Progress</w:t>
      </w:r>
    </w:p>
    <w:p w14:paraId="6F7AFDD0" w14:textId="77777777" w:rsidR="005F3E51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000000"/>
        </w:rPr>
        <w:t xml:space="preserve">ISACA CRISC (Certified in Risk and Information Systems Control) – Exam preparation </w:t>
      </w:r>
      <w:proofErr w:type="gramStart"/>
      <w:r>
        <w:rPr>
          <w:rFonts w:ascii="Calibri" w:eastAsia="Calibri" w:hAnsi="Calibri" w:cs="Calibri"/>
          <w:color w:val="000000"/>
        </w:rPr>
        <w:t>underway;</w:t>
      </w:r>
      <w:proofErr w:type="gramEnd"/>
      <w:r>
        <w:rPr>
          <w:rFonts w:ascii="Calibri" w:eastAsia="Calibri" w:hAnsi="Calibri" w:cs="Calibri"/>
          <w:color w:val="000000"/>
        </w:rPr>
        <w:t xml:space="preserve"> eligible for full certification upon accumulation of required work experience</w:t>
      </w:r>
    </w:p>
    <w:p w14:paraId="5C680EEB" w14:textId="77777777" w:rsidR="005F3E51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000000"/>
        </w:rPr>
        <w:t>Actively studying NIST CSF, ISO 27001, SOC 2, and PIPEDA frameworks in preparation for client-facing GRC consulting roles</w:t>
      </w:r>
    </w:p>
    <w:p w14:paraId="1F113F0A" w14:textId="77777777" w:rsidR="005F3E51" w:rsidRDefault="00000000">
      <w:pPr>
        <w:pBdr>
          <w:bottom w:val="single" w:sz="6" w:space="2" w:color="1F3864"/>
        </w:pBdr>
        <w:spacing w:before="160" w:after="60"/>
      </w:pPr>
      <w:r>
        <w:rPr>
          <w:rFonts w:ascii="Calibri" w:eastAsia="Calibri" w:hAnsi="Calibri" w:cs="Calibri"/>
          <w:b/>
          <w:bCs/>
          <w:caps/>
          <w:color w:val="1F3864"/>
          <w:sz w:val="22"/>
          <w:szCs w:val="22"/>
        </w:rPr>
        <w:t>Technical Skills &amp; Tools</w:t>
      </w:r>
    </w:p>
    <w:p w14:paraId="73AC2B29" w14:textId="77777777" w:rsidR="005F3E51" w:rsidRDefault="00000000">
      <w:pPr>
        <w:spacing w:before="30" w:after="30"/>
      </w:pPr>
      <w:r>
        <w:rPr>
          <w:rFonts w:ascii="Calibri" w:eastAsia="Calibri" w:hAnsi="Calibri" w:cs="Calibri"/>
          <w:b/>
          <w:bCs/>
          <w:color w:val="000000"/>
        </w:rPr>
        <w:t xml:space="preserve">GRC &amp; Risk Frameworks: </w:t>
      </w:r>
      <w:r>
        <w:rPr>
          <w:rFonts w:ascii="Calibri" w:eastAsia="Calibri" w:hAnsi="Calibri" w:cs="Calibri"/>
          <w:color w:val="000000"/>
        </w:rPr>
        <w:t>NIST CSF, ISO 27001, SOC 2, PIPEDA, Risk Registers, Control Testing</w:t>
      </w:r>
    </w:p>
    <w:p w14:paraId="2F00BD81" w14:textId="77777777" w:rsidR="005F3E51" w:rsidRDefault="00000000">
      <w:pPr>
        <w:spacing w:before="30" w:after="30"/>
      </w:pPr>
      <w:r>
        <w:rPr>
          <w:rFonts w:ascii="Calibri" w:eastAsia="Calibri" w:hAnsi="Calibri" w:cs="Calibri"/>
          <w:b/>
          <w:bCs/>
          <w:color w:val="000000"/>
        </w:rPr>
        <w:t xml:space="preserve">Security &amp; Analytics: </w:t>
      </w:r>
      <w:r>
        <w:rPr>
          <w:rFonts w:ascii="Calibri" w:eastAsia="Calibri" w:hAnsi="Calibri" w:cs="Calibri"/>
          <w:color w:val="000000"/>
        </w:rPr>
        <w:t>Splunk SIEM, GCP Security, Log Analysis, KPI Dashboards, Process Mapping</w:t>
      </w:r>
    </w:p>
    <w:p w14:paraId="4A72D036" w14:textId="77777777" w:rsidR="005F3E51" w:rsidRDefault="00000000">
      <w:pPr>
        <w:spacing w:before="30" w:after="30"/>
      </w:pPr>
      <w:r>
        <w:rPr>
          <w:rFonts w:ascii="Calibri" w:eastAsia="Calibri" w:hAnsi="Calibri" w:cs="Calibri"/>
          <w:b/>
          <w:bCs/>
          <w:color w:val="000000"/>
        </w:rPr>
        <w:t xml:space="preserve">Business Tools: </w:t>
      </w:r>
      <w:r>
        <w:rPr>
          <w:rFonts w:ascii="Calibri" w:eastAsia="Calibri" w:hAnsi="Calibri" w:cs="Calibri"/>
          <w:color w:val="000000"/>
        </w:rPr>
        <w:t>Microsoft Excel (Advanced), PowerPoint, SQL, SAP (exposure)</w:t>
      </w:r>
    </w:p>
    <w:p w14:paraId="31AA72FF" w14:textId="77777777" w:rsidR="005F3E51" w:rsidRDefault="00000000">
      <w:pPr>
        <w:spacing w:before="30" w:after="30"/>
      </w:pPr>
      <w:r>
        <w:rPr>
          <w:rFonts w:ascii="Calibri" w:eastAsia="Calibri" w:hAnsi="Calibri" w:cs="Calibri"/>
          <w:b/>
          <w:bCs/>
          <w:color w:val="000000"/>
        </w:rPr>
        <w:lastRenderedPageBreak/>
        <w:t xml:space="preserve">Technical Foundations: </w:t>
      </w:r>
      <w:r>
        <w:rPr>
          <w:rFonts w:ascii="Calibri" w:eastAsia="Calibri" w:hAnsi="Calibri" w:cs="Calibri"/>
          <w:color w:val="000000"/>
        </w:rPr>
        <w:t>Python, Java, AWS, Linux, Git, Docker</w:t>
      </w:r>
    </w:p>
    <w:p w14:paraId="730A7022" w14:textId="77777777" w:rsidR="005F3E51" w:rsidRDefault="00000000">
      <w:pPr>
        <w:spacing w:before="30" w:after="30"/>
      </w:pPr>
      <w:r>
        <w:rPr>
          <w:rFonts w:ascii="Calibri" w:eastAsia="Calibri" w:hAnsi="Calibri" w:cs="Calibri"/>
          <w:b/>
          <w:bCs/>
          <w:color w:val="000000"/>
        </w:rPr>
        <w:t xml:space="preserve">Languages: </w:t>
      </w:r>
      <w:r>
        <w:rPr>
          <w:rFonts w:ascii="Calibri" w:eastAsia="Calibri" w:hAnsi="Calibri" w:cs="Calibri"/>
          <w:color w:val="000000"/>
        </w:rPr>
        <w:t>English (Fluent), Urdu (Fluent), Spanish (Intermediate)</w:t>
      </w:r>
    </w:p>
    <w:sectPr w:rsidR="005F3E5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F0A97"/>
    <w:multiLevelType w:val="hybridMultilevel"/>
    <w:tmpl w:val="CF92B22E"/>
    <w:lvl w:ilvl="0" w:tplc="3FF60AA4">
      <w:start w:val="1"/>
      <w:numFmt w:val="bullet"/>
      <w:lvlText w:val="●"/>
      <w:lvlJc w:val="left"/>
      <w:pPr>
        <w:ind w:left="720" w:hanging="360"/>
      </w:pPr>
    </w:lvl>
    <w:lvl w:ilvl="1" w:tplc="8BE40F5E">
      <w:start w:val="1"/>
      <w:numFmt w:val="bullet"/>
      <w:lvlText w:val="○"/>
      <w:lvlJc w:val="left"/>
      <w:pPr>
        <w:ind w:left="1440" w:hanging="360"/>
      </w:pPr>
    </w:lvl>
    <w:lvl w:ilvl="2" w:tplc="CA24536C">
      <w:start w:val="1"/>
      <w:numFmt w:val="bullet"/>
      <w:lvlText w:val="■"/>
      <w:lvlJc w:val="left"/>
      <w:pPr>
        <w:ind w:left="2160" w:hanging="360"/>
      </w:pPr>
    </w:lvl>
    <w:lvl w:ilvl="3" w:tplc="ED022F92">
      <w:start w:val="1"/>
      <w:numFmt w:val="bullet"/>
      <w:lvlText w:val="●"/>
      <w:lvlJc w:val="left"/>
      <w:pPr>
        <w:ind w:left="2880" w:hanging="360"/>
      </w:pPr>
    </w:lvl>
    <w:lvl w:ilvl="4" w:tplc="395A8C1E">
      <w:start w:val="1"/>
      <w:numFmt w:val="bullet"/>
      <w:lvlText w:val="○"/>
      <w:lvlJc w:val="left"/>
      <w:pPr>
        <w:ind w:left="3600" w:hanging="360"/>
      </w:pPr>
    </w:lvl>
    <w:lvl w:ilvl="5" w:tplc="F368A27A">
      <w:start w:val="1"/>
      <w:numFmt w:val="bullet"/>
      <w:lvlText w:val="■"/>
      <w:lvlJc w:val="left"/>
      <w:pPr>
        <w:ind w:left="4320" w:hanging="360"/>
      </w:pPr>
    </w:lvl>
    <w:lvl w:ilvl="6" w:tplc="CB2622A6">
      <w:start w:val="1"/>
      <w:numFmt w:val="bullet"/>
      <w:lvlText w:val="●"/>
      <w:lvlJc w:val="left"/>
      <w:pPr>
        <w:ind w:left="5040" w:hanging="360"/>
      </w:pPr>
    </w:lvl>
    <w:lvl w:ilvl="7" w:tplc="C3DE90B2">
      <w:start w:val="1"/>
      <w:numFmt w:val="bullet"/>
      <w:lvlText w:val="●"/>
      <w:lvlJc w:val="left"/>
      <w:pPr>
        <w:ind w:left="5760" w:hanging="360"/>
      </w:pPr>
    </w:lvl>
    <w:lvl w:ilvl="8" w:tplc="63C628E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A086657"/>
    <w:multiLevelType w:val="hybridMultilevel"/>
    <w:tmpl w:val="B696498C"/>
    <w:lvl w:ilvl="0" w:tplc="E180AB3A">
      <w:start w:val="1"/>
      <w:numFmt w:val="bullet"/>
      <w:lvlText w:val="•"/>
      <w:lvlJc w:val="left"/>
      <w:pPr>
        <w:ind w:left="360" w:hanging="260"/>
      </w:pPr>
    </w:lvl>
    <w:lvl w:ilvl="1" w:tplc="7CB01060">
      <w:numFmt w:val="decimal"/>
      <w:lvlText w:val=""/>
      <w:lvlJc w:val="left"/>
    </w:lvl>
    <w:lvl w:ilvl="2" w:tplc="91C6CF54">
      <w:numFmt w:val="decimal"/>
      <w:lvlText w:val=""/>
      <w:lvlJc w:val="left"/>
    </w:lvl>
    <w:lvl w:ilvl="3" w:tplc="7422CC9C">
      <w:numFmt w:val="decimal"/>
      <w:lvlText w:val=""/>
      <w:lvlJc w:val="left"/>
    </w:lvl>
    <w:lvl w:ilvl="4" w:tplc="199E06F4">
      <w:numFmt w:val="decimal"/>
      <w:lvlText w:val=""/>
      <w:lvlJc w:val="left"/>
    </w:lvl>
    <w:lvl w:ilvl="5" w:tplc="0AA25120">
      <w:numFmt w:val="decimal"/>
      <w:lvlText w:val=""/>
      <w:lvlJc w:val="left"/>
    </w:lvl>
    <w:lvl w:ilvl="6" w:tplc="BB146B94">
      <w:numFmt w:val="decimal"/>
      <w:lvlText w:val=""/>
      <w:lvlJc w:val="left"/>
    </w:lvl>
    <w:lvl w:ilvl="7" w:tplc="AB183662">
      <w:numFmt w:val="decimal"/>
      <w:lvlText w:val=""/>
      <w:lvlJc w:val="left"/>
    </w:lvl>
    <w:lvl w:ilvl="8" w:tplc="BB787BE4">
      <w:numFmt w:val="decimal"/>
      <w:lvlText w:val=""/>
      <w:lvlJc w:val="left"/>
    </w:lvl>
  </w:abstractNum>
  <w:num w:numId="1" w16cid:durableId="348456492">
    <w:abstractNumId w:val="0"/>
    <w:lvlOverride w:ilvl="0">
      <w:startOverride w:val="1"/>
    </w:lvlOverride>
  </w:num>
  <w:num w:numId="2" w16cid:durableId="148304279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3E51"/>
    <w:rsid w:val="001834CD"/>
    <w:rsid w:val="00487508"/>
    <w:rsid w:val="005F3E51"/>
    <w:rsid w:val="007C004A"/>
    <w:rsid w:val="00A86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B82940"/>
  <w15:docId w15:val="{F14E6711-5EC8-3146-9ED9-7733DB161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529</Words>
  <Characters>3016</Characters>
  <Application>Microsoft Office Word</Application>
  <DocSecurity>0</DocSecurity>
  <Lines>25</Lines>
  <Paragraphs>7</Paragraphs>
  <ScaleCrop>false</ScaleCrop>
  <Company/>
  <LinksUpToDate>false</LinksUpToDate>
  <CharactersWithSpaces>3538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Hamza Babar</cp:lastModifiedBy>
  <cp:revision>4</cp:revision>
  <dcterms:created xsi:type="dcterms:W3CDTF">2026-04-01T22:41:00Z</dcterms:created>
  <dcterms:modified xsi:type="dcterms:W3CDTF">2026-04-01T22:49:00Z</dcterms:modified>
</cp:coreProperties>
</file>