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6c69210b6aefaff2bb168688dfe1b9d872c305c"/>
    <w:p>
      <w:pPr>
        <w:pStyle w:val="Heading1"/>
      </w:pPr>
      <w:r>
        <w:t xml:space="preserve">Technical Leadership in AI/ML Research Innovation</w:t>
      </w:r>
    </w:p>
    <w:bookmarkStart w:id="21" w:name="Xb03d694c49d45c068afad49ae9687245cb40780"/>
    <w:p>
      <w:pPr>
        <w:pStyle w:val="Heading2"/>
      </w:pPr>
      <w:r>
        <w:t xml:space="preserve">Mandatory Criteria - Recognition as Potential Leading Talent</w:t>
      </w:r>
    </w:p>
    <w:bookmarkStart w:id="9" w:name="executive-summary"/>
    <w:p>
      <w:pPr>
        <w:pStyle w:val="Heading3"/>
      </w:pPr>
      <w:r>
        <w:t xml:space="preserve">Executive Summary</w:t>
      </w:r>
    </w:p>
    <w:p>
      <w:pPr>
        <w:pStyle w:val="FirstParagraph"/>
      </w:pPr>
      <w:r>
        <w:t xml:space="preserve">I am recognized as an emerging leader in AI/ML research infrastructure, developing technical innovations that have accelerated scientific discovery across multiple international institutions. Through breakthrough computational methods and workflow optimizations, I have enabled research teams to achieve results previously impossible, establishing myself as a key technical leader in applying digital technology to advance scientific research.</w:t>
      </w:r>
    </w:p>
    <w:bookmarkEnd w:id="9"/>
    <w:bookmarkStart w:id="13" w:name="technical-leadership-recognition"/>
    <w:p>
      <w:pPr>
        <w:pStyle w:val="Heading3"/>
      </w:pPr>
      <w:r>
        <w:t xml:space="preserve">Technical Leadership Recognition</w:t>
      </w:r>
    </w:p>
    <w:bookmarkStart w:id="10" w:name="Xa5dfee58ce069a1613e3301215a710cc3bd9ca0"/>
    <w:p>
      <w:pPr>
        <w:pStyle w:val="Heading4"/>
      </w:pPr>
      <w:r>
        <w:t xml:space="preserve">Computational Infrastructure Breakthrough</w:t>
      </w:r>
    </w:p>
    <w:p>
      <w:pPr>
        <w:pStyle w:val="FirstParagraph"/>
      </w:pPr>
      <w:r>
        <w:t xml:space="preserve">My development of the first COMSOL-HPC integration achieved a</w:t>
      </w:r>
      <w:r>
        <w:t xml:space="preserve"> </w:t>
      </w:r>
      <w:r>
        <w:rPr>
          <w:b/>
          <w:bCs/>
        </w:rPr>
        <w:t xml:space="preserve">200x simulation acceleration</w:t>
      </w:r>
      <w:r>
        <w:t xml:space="preserve">, fundamentally transforming how research groups approach complex computational problems. This technical breakthrough has been adopted by researchers across Max Planck Institute, enabling PhD students and postdocs to complete simulations that previously took months in just days.</w:t>
      </w:r>
    </w:p>
    <w:bookmarkEnd w:id="10"/>
    <w:bookmarkStart w:id="11" w:name="multi-institutional-demand-for-expertise"/>
    <w:p>
      <w:pPr>
        <w:pStyle w:val="Heading4"/>
      </w:pPr>
      <w:r>
        <w:t xml:space="preserve">Multi-Institutional Demand for Expertise</w:t>
      </w:r>
    </w:p>
    <w:p>
      <w:pPr>
        <w:pStyle w:val="FirstParagraph"/>
      </w:pPr>
      <w:r>
        <w:t xml:space="preserve">Research institutions actively seek my technical leadership:</w:t>
      </w:r>
    </w:p>
    <w:p>
      <w:pPr>
        <w:pStyle w:val="Compact"/>
        <w:numPr>
          <w:ilvl w:val="0"/>
          <w:numId w:val="1001"/>
        </w:numPr>
      </w:pPr>
      <w:r>
        <w:rPr>
          <w:b/>
          <w:bCs/>
        </w:rPr>
        <w:t xml:space="preserve">Max Planck Institute</w:t>
      </w:r>
      <w:r>
        <w:t xml:space="preserve">: 3-year sustained collaboration (2022-2025) supported by Max Planck Society and HORIZON EUROPE European Innovation Council (EIC) Transition project HeartWise</w:t>
      </w:r>
    </w:p>
    <w:p>
      <w:pPr>
        <w:pStyle w:val="Compact"/>
        <w:numPr>
          <w:ilvl w:val="0"/>
          <w:numId w:val="1001"/>
        </w:numPr>
      </w:pPr>
      <w:r>
        <w:rPr>
          <w:b/>
          <w:bCs/>
        </w:rPr>
        <w:t xml:space="preserve">Imperial College London</w:t>
      </w:r>
      <w:r>
        <w:t xml:space="preserve">: Grid-Invariant AI research attracting industry interest</w:t>
      </w:r>
    </w:p>
    <w:p>
      <w:pPr>
        <w:pStyle w:val="Compact"/>
        <w:numPr>
          <w:ilvl w:val="0"/>
          <w:numId w:val="1001"/>
        </w:numPr>
      </w:pPr>
      <w:r>
        <w:rPr>
          <w:b/>
          <w:bCs/>
        </w:rPr>
        <w:t xml:space="preserve">Koç University</w:t>
      </w:r>
      <w:r>
        <w:t xml:space="preserve">: Machine learning applications in optical systems supported by The Scientific and Technological Research Council of Türkiye (TUBITAK) grants</w:t>
      </w:r>
    </w:p>
    <w:p>
      <w:pPr>
        <w:pStyle w:val="FirstParagraph"/>
      </w:pPr>
      <w:r>
        <w:t xml:space="preserve">This cross-institutional demand demonstrates recognition of my unique expertise in applying AI/ML to accelerate traditional research workflows.</w:t>
      </w:r>
    </w:p>
    <w:bookmarkEnd w:id="11"/>
    <w:bookmarkStart w:id="12" w:name="X5b9b5c7023d8b79ef5612c32b994ebce3bde1aa"/>
    <w:p>
      <w:pPr>
        <w:pStyle w:val="Heading4"/>
      </w:pPr>
      <w:r>
        <w:t xml:space="preserve">Industry Recognition of Commercial Impact</w:t>
      </w:r>
    </w:p>
    <w:p>
      <w:pPr>
        <w:pStyle w:val="FirstParagraph"/>
      </w:pPr>
      <w:r>
        <w:t xml:space="preserve">My Imperial College research on Grid-Invariant AI has attracted interest from major car companies and tech giants, validating the commercial potential of my technical innovations. The 35% stability improvement achieved through my methods has direct applications in autonomous vehicle systems and large-scale AI deployments. This work is funded by a major tech giant in collaboration with multiple universities.</w:t>
      </w:r>
    </w:p>
    <w:bookmarkEnd w:id="12"/>
    <w:bookmarkEnd w:id="13"/>
    <w:bookmarkStart w:id="17" w:name="evidence-of-leading-talent-potential"/>
    <w:p>
      <w:pPr>
        <w:pStyle w:val="Heading3"/>
      </w:pPr>
      <w:r>
        <w:t xml:space="preserve">Evidence of Leading Talent Potential</w:t>
      </w:r>
    </w:p>
    <w:bookmarkStart w:id="14" w:name="editorial-and-peer-recognition"/>
    <w:p>
      <w:pPr>
        <w:pStyle w:val="Heading4"/>
      </w:pPr>
      <w:r>
        <w:t xml:space="preserve">Editorial and Peer Recognition</w:t>
      </w:r>
    </w:p>
    <w:p>
      <w:pPr>
        <w:pStyle w:val="Compact"/>
        <w:numPr>
          <w:ilvl w:val="0"/>
          <w:numId w:val="1002"/>
        </w:numPr>
      </w:pPr>
      <w:r>
        <w:rPr>
          <w:b/>
          <w:bCs/>
        </w:rPr>
        <w:t xml:space="preserve">Cover image selection</w:t>
      </w:r>
      <w:r>
        <w:t xml:space="preserve"> </w:t>
      </w:r>
      <w:r>
        <w:t xml:space="preserve">from hundreds of research submissions, demonstrating editorial board recognition of technical excellence</w:t>
      </w:r>
    </w:p>
    <w:p>
      <w:pPr>
        <w:pStyle w:val="Compact"/>
        <w:numPr>
          <w:ilvl w:val="0"/>
          <w:numId w:val="1002"/>
        </w:numPr>
      </w:pPr>
      <w:r>
        <w:rPr>
          <w:b/>
          <w:bCs/>
        </w:rPr>
        <w:t xml:space="preserve">Co-first author status</w:t>
      </w:r>
      <w:r>
        <w:t xml:space="preserve"> </w:t>
      </w:r>
      <w:r>
        <w:t xml:space="preserve">with senior international researchers, indicating peer acknowledgment of leadership-level contributions</w:t>
      </w:r>
    </w:p>
    <w:p>
      <w:pPr>
        <w:pStyle w:val="Compact"/>
        <w:numPr>
          <w:ilvl w:val="0"/>
          <w:numId w:val="1002"/>
        </w:numPr>
      </w:pPr>
      <w:r>
        <w:rPr>
          <w:b/>
          <w:bCs/>
        </w:rPr>
        <w:t xml:space="preserve">Speaking engagement</w:t>
      </w:r>
      <w:r>
        <w:t xml:space="preserve"> </w:t>
      </w:r>
      <w:r>
        <w:t xml:space="preserve">to 50 Max Planck researchers (PhDs and postdocs) in 2022, presenting breakthrough findings</w:t>
      </w:r>
    </w:p>
    <w:bookmarkEnd w:id="14"/>
    <w:bookmarkStart w:id="15" w:name="research-leadership-impact"/>
    <w:p>
      <w:pPr>
        <w:pStyle w:val="Heading4"/>
      </w:pPr>
      <w:r>
        <w:t xml:space="preserve">Research Leadership Impact</w:t>
      </w:r>
    </w:p>
    <w:p>
      <w:pPr>
        <w:pStyle w:val="FirstParagraph"/>
      </w:pPr>
      <w:r>
        <w:t xml:space="preserve">My technical innovations have directly enabled breakthrough research outputs:</w:t>
      </w:r>
    </w:p>
    <w:p>
      <w:pPr>
        <w:pStyle w:val="Compact"/>
        <w:numPr>
          <w:ilvl w:val="0"/>
          <w:numId w:val="1003"/>
        </w:numPr>
      </w:pPr>
      <w:r>
        <w:rPr>
          <w:b/>
          <w:bCs/>
        </w:rPr>
        <w:t xml:space="preserve">4 peer-reviewed journal publications</w:t>
      </w:r>
      <w:r>
        <w:t xml:space="preserve"> </w:t>
      </w:r>
      <w:r>
        <w:t xml:space="preserve">spanning computational modeling, medical robotics, and AI applications</w:t>
      </w:r>
    </w:p>
    <w:p>
      <w:pPr>
        <w:pStyle w:val="Compact"/>
        <w:numPr>
          <w:ilvl w:val="0"/>
          <w:numId w:val="1003"/>
        </w:numPr>
      </w:pPr>
      <w:r>
        <w:rPr>
          <w:b/>
          <w:bCs/>
        </w:rPr>
        <w:t xml:space="preserve">1 international conference paper</w:t>
      </w:r>
      <w:r>
        <w:t xml:space="preserve"> </w:t>
      </w:r>
      <w:r>
        <w:t xml:space="preserve">accepted through competitive peer review</w:t>
      </w:r>
    </w:p>
    <w:p>
      <w:pPr>
        <w:pStyle w:val="Compact"/>
        <w:numPr>
          <w:ilvl w:val="0"/>
          <w:numId w:val="1003"/>
        </w:numPr>
      </w:pPr>
      <w:r>
        <w:rPr>
          <w:b/>
          <w:bCs/>
        </w:rPr>
        <w:t xml:space="preserve">Multiple manuscripts in development</w:t>
      </w:r>
      <w:r>
        <w:t xml:space="preserve"> </w:t>
      </w:r>
      <w:r>
        <w:t xml:space="preserve">continuing the research trajectory</w:t>
      </w:r>
    </w:p>
    <w:bookmarkEnd w:id="15"/>
    <w:bookmarkStart w:id="16" w:name="knowledge-transfer-and-mentorship"/>
    <w:p>
      <w:pPr>
        <w:pStyle w:val="Heading4"/>
      </w:pPr>
      <w:r>
        <w:t xml:space="preserve">Knowledge Transfer and Mentorship</w:t>
      </w:r>
    </w:p>
    <w:p>
      <w:pPr>
        <w:pStyle w:val="Compact"/>
        <w:numPr>
          <w:ilvl w:val="0"/>
          <w:numId w:val="1004"/>
        </w:numPr>
      </w:pPr>
      <w:r>
        <w:t xml:space="preserve">Collaborated with PhD student Ugur Bozuyuk, transferring technical expertise that accelerated his research</w:t>
      </w:r>
    </w:p>
    <w:p>
      <w:pPr>
        <w:pStyle w:val="Compact"/>
        <w:numPr>
          <w:ilvl w:val="0"/>
          <w:numId w:val="1004"/>
        </w:numPr>
      </w:pPr>
      <w:r>
        <w:t xml:space="preserve">Developed computational infrastructure benefiting entire Max Planck research group</w:t>
      </w:r>
    </w:p>
    <w:p>
      <w:pPr>
        <w:pStyle w:val="Compact"/>
        <w:numPr>
          <w:ilvl w:val="0"/>
          <w:numId w:val="1004"/>
        </w:numPr>
      </w:pPr>
      <w:r>
        <w:t xml:space="preserve">Created workflow optimizations adopted by researchers across multiple institutions</w:t>
      </w:r>
    </w:p>
    <w:bookmarkEnd w:id="16"/>
    <w:bookmarkEnd w:id="17"/>
    <w:bookmarkStart w:id="20" w:name="digital-technology-sector-contribution"/>
    <w:p>
      <w:pPr>
        <w:pStyle w:val="Heading3"/>
      </w:pPr>
      <w:r>
        <w:t xml:space="preserve">Digital Technology Sector Contribution</w:t>
      </w:r>
    </w:p>
    <w:bookmarkStart w:id="18" w:name="aiml-research-infrastructure"/>
    <w:p>
      <w:pPr>
        <w:pStyle w:val="Heading4"/>
      </w:pPr>
      <w:r>
        <w:t xml:space="preserve">AI/ML Research Infrastructure</w:t>
      </w:r>
    </w:p>
    <w:p>
      <w:pPr>
        <w:pStyle w:val="FirstParagraph"/>
      </w:pPr>
      <w:r>
        <w:t xml:space="preserve">My contributions advance the digital technology sector through:</w:t>
      </w:r>
    </w:p>
    <w:p>
      <w:pPr>
        <w:pStyle w:val="Compact"/>
        <w:numPr>
          <w:ilvl w:val="0"/>
          <w:numId w:val="1005"/>
        </w:numPr>
      </w:pPr>
      <w:r>
        <w:rPr>
          <w:b/>
          <w:bCs/>
        </w:rPr>
        <w:t xml:space="preserve">Computational workflow optimization</w:t>
      </w:r>
      <w:r>
        <w:t xml:space="preserve"> </w:t>
      </w:r>
      <w:r>
        <w:t xml:space="preserve">using machine learning techniques</w:t>
      </w:r>
    </w:p>
    <w:p>
      <w:pPr>
        <w:pStyle w:val="Compact"/>
        <w:numPr>
          <w:ilvl w:val="0"/>
          <w:numId w:val="1005"/>
        </w:numPr>
      </w:pPr>
      <w:r>
        <w:rPr>
          <w:b/>
          <w:bCs/>
        </w:rPr>
        <w:t xml:space="preserve">High-performance computing integration</w:t>
      </w:r>
      <w:r>
        <w:t xml:space="preserve"> </w:t>
      </w:r>
      <w:r>
        <w:t xml:space="preserve">with traditional simulation software</w:t>
      </w:r>
    </w:p>
    <w:p>
      <w:pPr>
        <w:pStyle w:val="Compact"/>
        <w:numPr>
          <w:ilvl w:val="0"/>
          <w:numId w:val="1005"/>
        </w:numPr>
      </w:pPr>
      <w:r>
        <w:rPr>
          <w:b/>
          <w:bCs/>
        </w:rPr>
        <w:t xml:space="preserve">Cross-disciplinary innovation</w:t>
      </w:r>
      <w:r>
        <w:t xml:space="preserve"> </w:t>
      </w:r>
      <w:r>
        <w:t xml:space="preserve">connecting AI/ML with biomedical engineering, fluid dynamics, and optical systems</w:t>
      </w:r>
    </w:p>
    <w:bookmarkEnd w:id="18"/>
    <w:bookmarkStart w:id="19" w:name="sustained-technical-innovation"/>
    <w:p>
      <w:pPr>
        <w:pStyle w:val="Heading4"/>
      </w:pPr>
      <w:r>
        <w:t xml:space="preserve">Sustained Technical Innovation</w:t>
      </w:r>
    </w:p>
    <w:p>
      <w:pPr>
        <w:pStyle w:val="Compact"/>
        <w:numPr>
          <w:ilvl w:val="0"/>
          <w:numId w:val="1006"/>
        </w:numPr>
      </w:pPr>
      <w:r>
        <w:rPr>
          <w:b/>
          <w:bCs/>
        </w:rPr>
        <w:t xml:space="preserve">2022-2025</w:t>
      </w:r>
      <w:r>
        <w:t xml:space="preserve">: Continuous development of AI-enhanced research methodologies</w:t>
      </w:r>
    </w:p>
    <w:p>
      <w:pPr>
        <w:pStyle w:val="Compact"/>
        <w:numPr>
          <w:ilvl w:val="0"/>
          <w:numId w:val="1006"/>
        </w:numPr>
      </w:pPr>
      <w:r>
        <w:rPr>
          <w:b/>
          <w:bCs/>
        </w:rPr>
        <w:t xml:space="preserve">Multi-domain applications</w:t>
      </w:r>
      <w:r>
        <w:t xml:space="preserve">: Medical robotics, automotive systems, optical computing</w:t>
      </w:r>
    </w:p>
    <w:p>
      <w:pPr>
        <w:pStyle w:val="Compact"/>
        <w:numPr>
          <w:ilvl w:val="0"/>
          <w:numId w:val="1006"/>
        </w:numPr>
      </w:pPr>
      <w:r>
        <w:rPr>
          <w:b/>
          <w:bCs/>
        </w:rPr>
        <w:t xml:space="preserve">Open-source contributions</w:t>
      </w:r>
      <w:r>
        <w:t xml:space="preserve">: Making research accessible to global scientific community</w:t>
      </w:r>
    </w:p>
    <w:p>
      <w:pPr>
        <w:pStyle w:val="FirstParagraph"/>
      </w:pPr>
      <w:r>
        <w:t xml:space="preserve">This technical leadership in applying digital technology to accelerate scientific research positions me as an emerging leader with demonstrated impact across academic and industry sectors.</w:t>
      </w:r>
    </w:p>
    <w:bookmarkEnd w:id="19"/>
    <w:bookmarkEnd w:id="20"/>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2025-09-13T16:18:18Z</dcterms:created>
  <dcterms:modified xsi:type="dcterms:W3CDTF">2025-09-13T16:18:18Z</dcterms:modified>
</cp:coreProperties>
</file>

<file path=docProps/custom.xml><?xml version="1.0" encoding="utf-8"?>
<Properties xmlns="http://schemas.openxmlformats.org/officeDocument/2006/custom-properties" xmlns:vt="http://schemas.openxmlformats.org/officeDocument/2006/docPropsVTypes"/>
</file>