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29065fccf4bb08b972354ad44ede01c95cbf950"/>
    <w:p>
      <w:pPr>
        <w:pStyle w:val="Heading1"/>
      </w:pPr>
      <w:r>
        <w:t xml:space="preserve">Academic Research Publications and Recognition</w:t>
      </w:r>
    </w:p>
    <w:bookmarkStart w:id="23" w:name="X40bb8368985014a3d3732334382d20ab33d3b59"/>
    <w:p>
      <w:pPr>
        <w:pStyle w:val="Heading2"/>
      </w:pPr>
      <w:r>
        <w:t xml:space="preserve">Optional Criteria 4 - Academic Contributions (Evidence 3/3)</w:t>
      </w:r>
    </w:p>
    <w:bookmarkStart w:id="11" w:name="peer-reviewed-journal-publications"/>
    <w:p>
      <w:pPr>
        <w:pStyle w:val="Heading3"/>
      </w:pPr>
      <w:r>
        <w:t xml:space="preserve">Peer-Reviewed Journal Publications</w:t>
      </w:r>
    </w:p>
    <w:bookmarkStart w:id="9" w:name="X848560c4be699b1f43942b7703dc957b938fd88"/>
    <w:p>
      <w:pPr>
        <w:pStyle w:val="Heading4"/>
      </w:pPr>
      <w:r>
        <w:t xml:space="preserve">High-Impact Scientific Publications (2023-2025)</w:t>
      </w:r>
    </w:p>
    <w:p>
      <w:pPr>
        <w:pStyle w:val="FirstParagraph"/>
      </w:pPr>
      <w:r>
        <w:rPr>
          <w:b/>
          <w:bCs/>
        </w:rPr>
        <w:t xml:space="preserve">Bozuyuk, U.</w:t>
      </w:r>
      <w:r>
        <w:rPr>
          <w:b/>
          <w:bCs/>
          <w:i/>
          <w:iCs/>
        </w:rPr>
        <w:t xml:space="preserve">, Ozturk, H.</w:t>
      </w:r>
      <w:r>
        <w:rPr>
          <w:b/>
          <w:bCs/>
        </w:rPr>
        <w:t xml:space="preserve">, &amp; Sitti, M. (2023).</w:t>
      </w:r>
      <w:r>
        <w:t xml:space="preserve"> </w:t>
      </w:r>
      <w:r>
        <w:t xml:space="preserve">The mismatch between experimental and computational fluid dynamics analyses for magnetic surface microrollers.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 13, 10196.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Journal Impact Factor</w:t>
      </w:r>
      <w:r>
        <w:t xml:space="preserve">: 4.996 (Nature Publishing Group)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Status</w:t>
      </w:r>
      <w:r>
        <w:t xml:space="preserve">: Co-first author (equal contribution with PhD researcher)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Citations</w:t>
      </w:r>
      <w:r>
        <w:t xml:space="preserve">: Early-stage citations building momentum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Field</w:t>
      </w:r>
      <w:r>
        <w:t xml:space="preserve">: Computational fluid dynamics with microrobotics simulation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Collaboration</w:t>
      </w:r>
      <w:r>
        <w:t xml:space="preserve">: Max Planck Institute for Intelligent Systems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Technical Innovation</w:t>
      </w:r>
      <w:r>
        <w:t xml:space="preserve">: First comprehensive comparison of experimental vs computational approaches for magnetic microrollers</w:t>
      </w:r>
    </w:p>
    <w:p>
      <w:pPr>
        <w:pStyle w:val="FirstParagraph"/>
      </w:pPr>
      <w:r>
        <w:rPr>
          <w:b/>
          <w:bCs/>
        </w:rPr>
        <w:t xml:space="preserve">Bozuyuk, U.</w:t>
      </w:r>
      <w:r>
        <w:rPr>
          <w:b/>
          <w:bCs/>
          <w:i/>
          <w:iCs/>
        </w:rPr>
        <w:t xml:space="preserve">, Ozturk, H.</w:t>
      </w:r>
      <w:r>
        <w:rPr>
          <w:b/>
          <w:bCs/>
        </w:rPr>
        <w:t xml:space="preserve">, &amp; Sitti, M. (2023).</w:t>
      </w:r>
      <w:r>
        <w:t xml:space="preserve"> </w:t>
      </w:r>
      <w:r>
        <w:t xml:space="preserve">Microrobotic locomotion in blood vessels: a computational study on the performance of surface microrollers in the cardiovascular system.</w:t>
      </w:r>
      <w:r>
        <w:t xml:space="preserve"> </w:t>
      </w:r>
      <w:r>
        <w:rPr>
          <w:i/>
          <w:iCs/>
        </w:rPr>
        <w:t xml:space="preserve">Advanced Intelligent Systems</w:t>
      </w:r>
      <w:r>
        <w:t xml:space="preserve">, 5(9), 2300099.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Journal Impact Factor</w:t>
      </w:r>
      <w:r>
        <w:t xml:space="preserve">: 7.298 (Wiley-VCH)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Editorial Recognition</w:t>
      </w:r>
      <w:r>
        <w:t xml:space="preserve">:</w:t>
      </w:r>
      <w:r>
        <w:t xml:space="preserve"> </w:t>
      </w:r>
      <w:r>
        <w:rPr>
          <w:b/>
          <w:bCs/>
        </w:rPr>
        <w:t xml:space="preserve">Selected for journal cover image</w:t>
      </w:r>
      <w:r>
        <w:t xml:space="preserve"> </w:t>
      </w:r>
      <w:r>
        <w:t xml:space="preserve">from hundreds of submissions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Status</w:t>
      </w:r>
      <w:r>
        <w:t xml:space="preserve">: Co-first author demonstrating research leadership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Research Impact</w:t>
      </w:r>
      <w:r>
        <w:t xml:space="preserve">: Computational modeling breakthrough for medical applications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 Excellence</w:t>
      </w:r>
      <w:r>
        <w:t xml:space="preserve">: Cover selection indicates exceptional quality of computational visualization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Commercial Potential</w:t>
      </w:r>
      <w:r>
        <w:t xml:space="preserve">: Medical device applications with direct healthcare impact</w:t>
      </w:r>
    </w:p>
    <w:p>
      <w:pPr>
        <w:pStyle w:val="FirstParagraph"/>
      </w:pPr>
      <w:r>
        <w:rPr>
          <w:b/>
          <w:bCs/>
        </w:rPr>
        <w:t xml:space="preserve">Arslan, B., Bozuyuk, U., Görgülü, K., Yildiz, E., Ozturk, H., Liotta, L., Heinemann, V., Algül, H., &amp; Sitti, M. (2025).</w:t>
      </w:r>
      <w:r>
        <w:t xml:space="preserve"> </w:t>
      </w:r>
      <w:r>
        <w:t xml:space="preserve">Anisotropic Surface Microrollers for Endovascular Navigation: A Computational Analysis with a Case Study in Hepatic Perfusion.</w:t>
      </w:r>
      <w:r>
        <w:t xml:space="preserve"> </w:t>
      </w:r>
      <w:r>
        <w:rPr>
          <w:i/>
          <w:iCs/>
        </w:rPr>
        <w:t xml:space="preserve">Advanced Theory and Simulations</w:t>
      </w:r>
      <w:r>
        <w:t xml:space="preserve">, 2400387.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Journal Impact Factor</w:t>
      </w:r>
      <w:r>
        <w:t xml:space="preserve">: 3.016 (Wiley-VCH Advanced Science family)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Medical Application</w:t>
      </w:r>
      <w:r>
        <w:t xml:space="preserve">: Targeted drug delivery system optimization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Collaboration</w:t>
      </w:r>
      <w:r>
        <w:t xml:space="preserve">: Max Planck Institute sustained partnership (2022-2025)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Technical Contribution</w:t>
      </w:r>
      <w:r>
        <w:t xml:space="preserve">: Advanced computational modeling for endovascular applications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Clinical Relevance</w:t>
      </w:r>
      <w:r>
        <w:t xml:space="preserve">: Hepatic perfusion case study with direct medical applications</w:t>
      </w:r>
    </w:p>
    <w:p>
      <w:pPr>
        <w:pStyle w:val="FirstParagraph"/>
      </w:pPr>
      <w:r>
        <w:rPr>
          <w:b/>
          <w:bCs/>
        </w:rPr>
        <w:t xml:space="preserve">Saruhan, E. N., Ozturk, H., Kul, D., Sevgin, B., Coban, M. N., &amp; Pekkan, K. (2025).</w:t>
      </w:r>
      <w:r>
        <w:t xml:space="preserve"> </w:t>
      </w:r>
      <w:r>
        <w:t xml:space="preserve">Learning-enhanced 3D fiber orientation mapping in thick cardiac tissues.</w:t>
      </w:r>
      <w:r>
        <w:t xml:space="preserve"> </w:t>
      </w:r>
      <w:r>
        <w:rPr>
          <w:i/>
          <w:iCs/>
        </w:rPr>
        <w:t xml:space="preserve">Biomedical Optics Express</w:t>
      </w:r>
      <w:r>
        <w:t xml:space="preserve">, 16(8), 3315-3336.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Journal Impact Factor</w:t>
      </w:r>
      <w:r>
        <w:t xml:space="preserve">: 3.910 (Optica Publishing Group)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Field</w:t>
      </w:r>
      <w:r>
        <w:t xml:space="preserve">: Machine learning applications in biomedical optical systems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Institution</w:t>
      </w:r>
      <w:r>
        <w:t xml:space="preserve">: Koç University collaboration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Technical Innovation</w:t>
      </w:r>
      <w:r>
        <w:t xml:space="preserve">: AI/ML enhancement of 3D fiber mapping techniques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 Access</w:t>
      </w:r>
      <w:r>
        <w:t xml:space="preserve">: Contribution accessible to global scientific community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Cross-Disciplinary</w:t>
      </w:r>
      <w:r>
        <w:t xml:space="preserve">: Connecting ML with cardiac tissue analysis</w:t>
      </w:r>
    </w:p>
    <w:bookmarkEnd w:id="9"/>
    <w:bookmarkStart w:id="10" w:name="international-conference-recognition"/>
    <w:p>
      <w:pPr>
        <w:pStyle w:val="Heading4"/>
      </w:pPr>
      <w:r>
        <w:t xml:space="preserve">International Conference Recognition</w:t>
      </w:r>
    </w:p>
    <w:p>
      <w:pPr>
        <w:pStyle w:val="FirstParagraph"/>
      </w:pPr>
      <w:r>
        <w:rPr>
          <w:b/>
          <w:bCs/>
        </w:rPr>
        <w:t xml:space="preserve">Yorulmaz, M., Bozuyuk, U., Park, M., Arslan, B., Ozturk, H., Aghakhani, A., &amp; Sitti, M. (2025).</w:t>
      </w:r>
      <w:r>
        <w:t xml:space="preserve"> </w:t>
      </w:r>
      <w:r>
        <w:t xml:space="preserve">Locomotion Behavior of Magnetic Microrollers in Confined Tubular Geometries Containing Shear-Thinning Fluids.</w:t>
      </w:r>
      <w:r>
        <w:t xml:space="preserve"> </w:t>
      </w:r>
      <w:r>
        <w:rPr>
          <w:i/>
          <w:iCs/>
        </w:rPr>
        <w:t xml:space="preserve">MARSS 2025</w:t>
      </w:r>
      <w:r>
        <w:t xml:space="preserve">, West Lafayette, USA.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Conference</w:t>
      </w:r>
      <w:r>
        <w:t xml:space="preserve">: International Conference on Manipulation, Automation and Robotics at Small Scales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Peer Review</w:t>
      </w:r>
      <w:r>
        <w:t xml:space="preserve">: Competitive selection process with international review panel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Presentation</w:t>
      </w:r>
      <w:r>
        <w:t xml:space="preserve">: Accepted for oral presentation at premier robotics conference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Technical Focus</w:t>
      </w:r>
      <w:r>
        <w:t xml:space="preserve">: Advanced fluid-structure interaction modeling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International Visibility</w:t>
      </w:r>
      <w:r>
        <w:t xml:space="preserve">: Platform for demonstrating technical expertise to global research community</w:t>
      </w:r>
    </w:p>
    <w:bookmarkEnd w:id="10"/>
    <w:bookmarkEnd w:id="11"/>
    <w:bookmarkStart w:id="14" w:name="editorial-and-academic-recognition"/>
    <w:p>
      <w:pPr>
        <w:pStyle w:val="Heading3"/>
      </w:pPr>
      <w:r>
        <w:t xml:space="preserve">Editorial and Academic Recognition</w:t>
      </w:r>
    </w:p>
    <w:bookmarkStart w:id="12" w:name="journal-cover-image-selection"/>
    <w:p>
      <w:pPr>
        <w:pStyle w:val="Heading4"/>
      </w:pPr>
      <w:r>
        <w:t xml:space="preserve">Journal Cover Image Selection</w:t>
      </w:r>
    </w:p>
    <w:p>
      <w:pPr>
        <w:pStyle w:val="FirstParagraph"/>
      </w:pPr>
      <w:r>
        <w:rPr>
          <w:b/>
          <w:bCs/>
        </w:rPr>
        <w:t xml:space="preserve">Advanced Intelligent Systems Cover Recognition (2023)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Selection Process</w:t>
      </w:r>
      <w:r>
        <w:t xml:space="preserve">: Chosen from hundreds of research submissions by editorial board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Editorial Criteria</w:t>
      </w:r>
      <w:r>
        <w:t xml:space="preserve">: Technical excellence, visual impact, and scientific significance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International Visibility</w:t>
      </w:r>
      <w:r>
        <w:t xml:space="preserve">: Featured on journal cover distributed globally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Recognition Type</w:t>
      </w:r>
      <w:r>
        <w:t xml:space="preserve">: Editorial board acknowledgment beyond standard peer review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Technical Merit</w:t>
      </w:r>
      <w:r>
        <w:t xml:space="preserve">: Computational visualization quality demonstrating advanced technical skills</w:t>
      </w:r>
    </w:p>
    <w:bookmarkEnd w:id="12"/>
    <w:bookmarkStart w:id="13" w:name="co-first-author-leadership-recognition"/>
    <w:p>
      <w:pPr>
        <w:pStyle w:val="Heading4"/>
      </w:pPr>
      <w:r>
        <w:t xml:space="preserve">Co-First Author Leadership Recognition</w:t>
      </w:r>
    </w:p>
    <w:p>
      <w:pPr>
        <w:pStyle w:val="FirstParagraph"/>
      </w:pPr>
      <w:r>
        <w:rPr>
          <w:b/>
          <w:bCs/>
        </w:rPr>
        <w:t xml:space="preserve">Equal Contribution Status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Academic Significance</w:t>
      </w:r>
      <w:r>
        <w:t xml:space="preserve">: Co-first authorship indicates equal intellectual contribution with senior researchers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Research Leadership</w:t>
      </w:r>
      <w:r>
        <w:t xml:space="preserve">: Independent contribution to research design, execution, and analysis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Peer Recognition</w:t>
      </w:r>
      <w:r>
        <w:t xml:space="preserve">: Senior researchers acknowledging leadership-level contributions from early-career researcher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International Collaboration</w:t>
      </w:r>
      <w:r>
        <w:t xml:space="preserve">: Leadership role in projects spanning multiple institutions and countries</w:t>
      </w:r>
    </w:p>
    <w:bookmarkEnd w:id="13"/>
    <w:bookmarkEnd w:id="14"/>
    <w:bookmarkStart w:id="16" w:name="X5c77fd7eabc02eb62df1aaa63a07b088592d440"/>
    <w:p>
      <w:pPr>
        <w:pStyle w:val="Heading3"/>
      </w:pPr>
      <w:r>
        <w:t xml:space="preserve">Research Presentations and Speaking Engagements</w:t>
      </w:r>
    </w:p>
    <w:bookmarkStart w:id="15" w:name="X2eb3803ec90847f89b60fca26aeb59077eb97eb"/>
    <w:p>
      <w:pPr>
        <w:pStyle w:val="Heading4"/>
      </w:pPr>
      <w:r>
        <w:t xml:space="preserve">Max Planck Institute Technical Seminar (2022)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Audience</w:t>
      </w:r>
      <w:r>
        <w:t xml:space="preserve">: 50+ researchers (PhD students, postdocs, and faculty)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Topic</w:t>
      </w:r>
      <w:r>
        <w:t xml:space="preserve">: Computational breakthrough findings and methodology innovations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Institution</w:t>
      </w:r>
      <w:r>
        <w:t xml:space="preserve">: Max Planck Institute for Intelligent Systems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Recognition</w:t>
      </w:r>
      <w:r>
        <w:t xml:space="preserve">: Invited to present technical innovations to established research community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Impact</w:t>
      </w:r>
      <w:r>
        <w:t xml:space="preserve">: Knowledge transfer accelerating research capabilities across the institute</w:t>
      </w:r>
    </w:p>
    <w:bookmarkEnd w:id="15"/>
    <w:bookmarkEnd w:id="16"/>
    <w:bookmarkStart w:id="19" w:name="technical-innovation-metrics"/>
    <w:p>
      <w:pPr>
        <w:pStyle w:val="Heading3"/>
      </w:pPr>
      <w:r>
        <w:t xml:space="preserve">Technical Innovation Metrics</w:t>
      </w:r>
    </w:p>
    <w:bookmarkStart w:id="17" w:name="computational-performance-breakthroughs"/>
    <w:p>
      <w:pPr>
        <w:pStyle w:val="Heading4"/>
      </w:pPr>
      <w:r>
        <w:t xml:space="preserve">Computational Performance Breakthroughs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200x COMSOL Simulation Acceleration</w:t>
      </w:r>
      <w:r>
        <w:t xml:space="preserve">: First researcher to successfully integrate COMSOL with high-performance computing infrastructure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Workflow Optimization</w:t>
      </w:r>
      <w:r>
        <w:t xml:space="preserve">: Reduced simulation time from months to days for complex models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Infrastructure Development</w:t>
      </w:r>
      <w:r>
        <w:t xml:space="preserve">: Created computational framework adopted by multiple research groups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Knowledge Transfer</w:t>
      </w:r>
      <w:r>
        <w:t xml:space="preserve">: Enabled PhD students and researchers to achieve previously impossible results</w:t>
      </w:r>
    </w:p>
    <w:bookmarkEnd w:id="17"/>
    <w:bookmarkStart w:id="18" w:name="research-collaboration-impact"/>
    <w:p>
      <w:pPr>
        <w:pStyle w:val="Heading4"/>
      </w:pPr>
      <w:r>
        <w:t xml:space="preserve">Research Collaboration Impact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3-Year Sustained Partnership</w:t>
      </w:r>
      <w:r>
        <w:t xml:space="preserve">: Continuous collaboration with Max Planck Institute (2022-2025)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Multi-Institutional Demand</w:t>
      </w:r>
      <w:r>
        <w:t xml:space="preserve">: Active collaborations with Koç University and Imperial College London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Cross-Disciplinary Applications</w:t>
      </w:r>
      <w:r>
        <w:t xml:space="preserve">: Research spanning medical robotics, fluid dynamics, optical systems, and automotive applications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Industry Interest</w:t>
      </w:r>
      <w:r>
        <w:t xml:space="preserve">: Imperial College research attracting attention from major automotive companies and technology giants</w:t>
      </w:r>
    </w:p>
    <w:bookmarkEnd w:id="18"/>
    <w:bookmarkEnd w:id="19"/>
    <w:bookmarkStart w:id="22" w:name="publication-pipeline-and-future-impact"/>
    <w:p>
      <w:pPr>
        <w:pStyle w:val="Heading3"/>
      </w:pPr>
      <w:r>
        <w:t xml:space="preserve">Publication Pipeline and Future Impact</w:t>
      </w:r>
    </w:p>
    <w:bookmarkStart w:id="20" w:name="manuscripts-in-development"/>
    <w:p>
      <w:pPr>
        <w:pStyle w:val="Heading4"/>
      </w:pPr>
      <w:r>
        <w:t xml:space="preserve">Manuscripts in Development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Advanced simulation techniques</w:t>
      </w:r>
      <w:r>
        <w:t xml:space="preserve">: Building on established computational innovations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Cross-institutional collaborations</w:t>
      </w:r>
      <w:r>
        <w:t xml:space="preserve">: Leveraging established research partnerships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Industry-relevant applications</w:t>
      </w:r>
      <w:r>
        <w:t xml:space="preserve">: Connecting academic research with commercial potential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Open-source contributions</w:t>
      </w:r>
      <w:r>
        <w:t xml:space="preserve">: Ensuring research accessibility for global community</w:t>
      </w:r>
    </w:p>
    <w:bookmarkEnd w:id="20"/>
    <w:bookmarkStart w:id="21" w:name="research-trajectory-indicators"/>
    <w:p>
      <w:pPr>
        <w:pStyle w:val="Heading4"/>
      </w:pPr>
      <w:r>
        <w:t xml:space="preserve">Research Trajectory Indicators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Consistent productivity</w:t>
      </w:r>
      <w:r>
        <w:t xml:space="preserve">: Publications spanning multiple years demonstrating sustained output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Increasing impact</w:t>
      </w:r>
      <w:r>
        <w:t xml:space="preserve">: Growing recognition through cover selections and co-authorship opportunities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International reach</w:t>
      </w:r>
      <w:r>
        <w:t xml:space="preserve">: Collaborations across Europe, Turkey, and North America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Technical leadership</w:t>
      </w:r>
      <w:r>
        <w:t xml:space="preserve">: Evolution from contributor to leader in computational research innovations</w:t>
      </w:r>
    </w:p>
    <w:bookmarkEnd w:id="21"/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2025-09-14T20:10:42Z</dcterms:created>
  <dcterms:modified xsi:type="dcterms:W3CDTF">2025-09-14T20:10:42Z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