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纸老虎与香港反对派的没落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2020-11-14</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1939年8月1日，毛泽东在延安人民追悼平江惨案死难烈士大会上发表演说，题目是《必须制裁反动派》。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演说指出，取得抗日战争的胜利，“中国应该统一，不统一就不能胜利”。“统一”就是统一于抗战、统一于团结、统一于进步。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333333"/>
          <w:spacing w:val="8"/>
        </w:rPr>
        <w:t>“</w:t>
      </w:r>
      <w:r>
        <w:rPr>
          <w:rStyle w:val="richmediacontentem"/>
          <w:rFonts w:ascii="Microsoft YaHei UI" w:eastAsia="Microsoft YaHei UI" w:hAnsi="Microsoft YaHei UI" w:cs="Microsoft YaHei UI"/>
          <w:color w:val="0080FF"/>
          <w:spacing w:val="8"/>
        </w:rPr>
        <w:t>中国的反动派执行了日本帝国主义和汪精卫的命令，准备投降，所以先杀抗日军人，先杀共产党员，先杀爱国志士。这样的事如果不加制止，中国就会在这些反动派手里灭亡。所以这件事是全国的事，是很大的事，我们必须要求国民政府严办那些反动派。</w:t>
      </w:r>
      <w:r>
        <w:rPr>
          <w:rStyle w:val="richmediacontentem"/>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今天，经历过修例风波的香港市民，如果重读这篇文章，或许能明白人大最新涉港决定的意义。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回归23年的香港，并没有真正完成“统一”，统一于团结，统一于进步。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港独”分子登堂入室，当上了议员，宪制秩序频遭挑战；社会运动走向暴乱，本土恐怖主义萌动，公共秩序频遭破坏；内部撕裂，泛政治化问题日益突出，经济民生发展秩序频遭冲击。爱国爱港力量被压制，祸国祸港行为更猖狂，当香港从繁荣稳定开始出现不能继续保持繁荣稳定的迹象和危机，重建秩序，再立规矩，已是当务之急，已是长远之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或者可以说，</w:t>
      </w:r>
      <w:r>
        <w:rPr>
          <w:rStyle w:val="richmediacontentany"/>
          <w:rFonts w:ascii="Microsoft YaHei UI" w:eastAsia="Microsoft YaHei UI" w:hAnsi="Microsoft YaHei UI" w:cs="Microsoft YaHei UI"/>
          <w:b/>
          <w:bCs/>
          <w:color w:val="333333"/>
          <w:spacing w:val="8"/>
          <w:sz w:val="26"/>
          <w:szCs w:val="26"/>
        </w:rPr>
        <w:t>对于已经干出了反动派样子的香港反对派，已经到了不得不制裁的阶段了。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中央出手，一定是有力量的，一定是要见效果的，工作思路非常清晰。总结起来，无非就是“止暴制乱”四个字：制止街头暴力，制止政治乱象。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6月30日公布施行的香港国安法是其中一招，重在前者；11月11日全国人大作出的最新涉港决定是其中一招，重在后者。两者，都为了治标治本，都是确保“一国两制”不变形、不走样，确保香港繁荣稳定的重要举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人们已经见识了香港国安法的力量，人们也将看到人大最新涉港决定的力量。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并且，香港国安法和人大最新涉港决定，对中央和特区来说，都只是行动的开始，今后的相关行动还会陆续有来。5月28日人大就涉港国安立法的决定不是只有香港国安法，而十九届五中全会关于全面落实中央管治权的说法，不会是一句空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香港反对派已经意识到自己力量的微弱，但他们如果继续挑战“三个底线”（</w:t>
      </w:r>
      <w:r>
        <w:rPr>
          <w:rStyle w:val="richmediacontentany"/>
          <w:rFonts w:ascii="Microsoft YaHei UI" w:eastAsia="Microsoft YaHei UI" w:hAnsi="Microsoft YaHei UI" w:cs="Microsoft YaHei UI"/>
          <w:i/>
          <w:iCs/>
          <w:color w:val="0080FF"/>
          <w:spacing w:val="8"/>
        </w:rPr>
        <w:t>即绝对不能允许任何危害国家主权安全、绝对不能允许挑战中央权力和香港特别行政区基本法权威、绝对不能允许利用香港对内地进行渗透破坏的活动。</w:t>
      </w:r>
      <w:r>
        <w:rPr>
          <w:rFonts w:ascii="Microsoft YaHei UI" w:eastAsia="Microsoft YaHei UI" w:hAnsi="Microsoft YaHei UI" w:cs="Microsoft YaHei UI"/>
          <w:color w:val="333333"/>
          <w:spacing w:val="8"/>
          <w:sz w:val="26"/>
          <w:szCs w:val="26"/>
        </w:rPr>
        <w:t>）的话，恐怕还没有面对将至的真正的绝望。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相比香港国安法，人们可能会低估人大最新涉港决定的意义。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这一单纯就香港特区立法会议员资格问题的决定，将会对香港产生的重大而深远的影响，将会有更多层面的显现，不仅于反对派议员，于立法会。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它关乎香港政治体制的运作，关乎“一国两制”方针中“港人治港”的实践，关乎中央在香港的政治路线和组织路线，关乎香港一个管治时代的政治基调和政治主题。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用全国人大常委会委员长栗战书的话来说，这是“全国人大常委会坚持和完善‘一国两制’制度体系，依法维护国家安全、维护香港特别行政区宪制秩序的又一重要立法。”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特区政府据此依法认定几名反对派议员丧失议员资格，只是第一步。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人大最新涉港决定，不到800字，解决了一个问题，解决了一类问题。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靖海侯此前曾作简要分析：</w:t>
      </w:r>
      <w:r>
        <w:rPr>
          <w:rStyle w:val="richmediacontentany"/>
          <w:rFonts w:ascii="Microsoft YaHei UI" w:eastAsia="Microsoft YaHei UI" w:hAnsi="Microsoft YaHei UI" w:cs="Microsoft YaHei UI"/>
          <w:b/>
          <w:bCs/>
          <w:color w:val="333333"/>
          <w:spacing w:val="8"/>
          <w:sz w:val="26"/>
          <w:szCs w:val="26"/>
        </w:rPr>
        <w:t>1.决定的法律依据体现了对中国公民相关行为的统一要求，香港任何人都不是例外，都没有例外；2.决定第一款的核心内容是“一经依法认定”，在认定情形与程序、法律责任与后果等方面，作出了极其简洁、严密且智慧的安排；3.决定第二款的核心内容是“原定……”“以后……”等字眼，说明此决定有具体指向，也有一般指向；4.决定第三款是对第一款的补充说明，依法认定的主体和程序不言自明，并进一步确认巩固了香港政治体制实行行政主导的鲜明特征。</w:t>
      </w:r>
      <w:r>
        <w:rPr>
          <w:rStyle w:val="richmediacontentany"/>
          <w:rFonts w:ascii="Microsoft YaHei UI" w:eastAsia="Microsoft YaHei UI" w:hAnsi="Microsoft YaHei UI" w:cs="Microsoft YaHei UI"/>
          <w:b/>
          <w:bCs/>
          <w:color w:val="333333"/>
          <w:spacing w:val="8"/>
          <w:sz w:val="26"/>
          <w:szCs w:val="26"/>
        </w:rPr>
        <w:t>总体来说，这个决定的法律依据不是新鲜事物而是既有的，其最大意义和作用在于给行政长官和特区政府确权、明责。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作进一步的抽象思考，此决定有</w:t>
      </w:r>
      <w:r>
        <w:rPr>
          <w:rStyle w:val="richmediacontentany"/>
          <w:rFonts w:ascii="Microsoft YaHei UI" w:eastAsia="Microsoft YaHei UI" w:hAnsi="Microsoft YaHei UI" w:cs="Microsoft YaHei UI"/>
          <w:b/>
          <w:bCs/>
          <w:color w:val="333333"/>
          <w:spacing w:val="8"/>
          <w:sz w:val="26"/>
          <w:szCs w:val="26"/>
        </w:rPr>
        <w:t>多重内涵与层次</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说的是议员资格，又不仅是议员的资格，还诠释了香港特区工作公职人员包括立法会议员在内应该符合的法定条件和要求；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说的是参选事宜，又不仅是参选事宜，还明确了相关人员出任时和出任后不符合法定条件和要求的法律后果；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说的是立法会事宜，又不仅是立法会事宜，还确认了特区政府等其他管治主体的相关责任；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说的是维护国家安全，又不仅是维护国家安全，还勾勒了“拥护中华人民共和国香港特别行政区基本法、效忠中华人民共和国香港特别行政区”的根本政治规矩和基本政治伦理；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甚至是，说的是香港特区的事务，又不仅是香港特区的事务，而是包括了对中华人民共和国境内所有相关事务和相关人员的要求。</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8"/>
        </w:rPr>
        <w:t>决定列明的8条法律依据，除《全国人民代表大会常务委员会关于香港特别行政区第六届立法会继续履行职责的决定》外，都是全国性法律</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这一决定，地位不亚于香港国安法，意义不亚于香港国安法，影响也不会亚于香港国安法。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以上分析和判断，可以在港澳办、中联办的声明中得到确认。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两办声明的信息量很大，我们择其要者。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对港澳办的声明，可以关注以下几句话：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1.“确立了.......</w:t>
      </w:r>
      <w:r>
        <w:rPr>
          <w:rStyle w:val="richmediacontentany"/>
          <w:rFonts w:ascii="Microsoft YaHei UI" w:eastAsia="Microsoft YaHei UI" w:hAnsi="Microsoft YaHei UI" w:cs="Microsoft YaHei UI"/>
          <w:b/>
          <w:bCs/>
          <w:color w:val="333333"/>
          <w:spacing w:val="8"/>
          <w:sz w:val="26"/>
          <w:szCs w:val="26"/>
        </w:rPr>
        <w:t>即时丧失立法会议员资格的</w:t>
      </w:r>
      <w:r>
        <w:rPr>
          <w:rStyle w:val="richmediacontentany"/>
          <w:rFonts w:ascii="Microsoft YaHei UI" w:eastAsia="Microsoft YaHei UI" w:hAnsi="Microsoft YaHei UI" w:cs="Microsoft YaHei UI"/>
          <w:b/>
          <w:bCs/>
          <w:color w:val="FF4C41"/>
          <w:spacing w:val="8"/>
          <w:sz w:val="26"/>
          <w:szCs w:val="26"/>
        </w:rPr>
        <w:t>一般性规则</w:t>
      </w:r>
      <w:r>
        <w:rPr>
          <w:rFonts w:ascii="Microsoft YaHei UI" w:eastAsia="Microsoft YaHei UI" w:hAnsi="Microsoft YaHei UI" w:cs="Microsoft YaHei UI"/>
          <w:color w:val="333333"/>
          <w:spacing w:val="8"/>
          <w:sz w:val="26"/>
          <w:szCs w:val="26"/>
        </w:rPr>
        <w:t>，同时.....”;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w:t>
      </w:r>
      <w:r>
        <w:rPr>
          <w:rStyle w:val="richmediacontentany"/>
          <w:rFonts w:ascii="Microsoft YaHei UI" w:eastAsia="Microsoft YaHei UI" w:hAnsi="Microsoft YaHei UI" w:cs="Microsoft YaHei UI"/>
          <w:b/>
          <w:bCs/>
          <w:color w:val="333333"/>
          <w:spacing w:val="8"/>
          <w:sz w:val="26"/>
          <w:szCs w:val="26"/>
        </w:rPr>
        <w:t>香港特别行政区的政权机关，</w:t>
      </w:r>
      <w:r>
        <w:rPr>
          <w:rStyle w:val="richmediacontentany"/>
          <w:rFonts w:ascii="Microsoft YaHei UI" w:eastAsia="Microsoft YaHei UI" w:hAnsi="Microsoft YaHei UI" w:cs="Microsoft YaHei UI"/>
          <w:b/>
          <w:bCs/>
          <w:color w:val="FF4C41"/>
          <w:spacing w:val="8"/>
          <w:sz w:val="26"/>
          <w:szCs w:val="26"/>
        </w:rPr>
        <w:t>包括行政机关、立法机关、司法机关</w:t>
      </w:r>
      <w:r>
        <w:rPr>
          <w:rFonts w:ascii="Microsoft YaHei UI" w:eastAsia="Microsoft YaHei UI" w:hAnsi="Microsoft YaHei UI" w:cs="Microsoft YaHei UI"/>
          <w:color w:val="333333"/>
          <w:spacing w:val="8"/>
          <w:sz w:val="26"/>
          <w:szCs w:val="26"/>
        </w:rPr>
        <w:t>必须由......，这正是爱国者治港原则的基本要求”；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3.“有利于确保香港第六届立法会在继续履职期间顺畅运作，</w:t>
      </w:r>
      <w:r>
        <w:rPr>
          <w:rStyle w:val="richmediacontentany"/>
          <w:rFonts w:ascii="Microsoft YaHei UI" w:eastAsia="Microsoft YaHei UI" w:hAnsi="Microsoft YaHei UI" w:cs="Microsoft YaHei UI"/>
          <w:color w:val="FF4C41"/>
          <w:spacing w:val="8"/>
          <w:sz w:val="26"/>
          <w:szCs w:val="26"/>
        </w:rPr>
        <w:t>为</w:t>
      </w:r>
      <w:r>
        <w:rPr>
          <w:rStyle w:val="richmediacontentany"/>
          <w:rFonts w:ascii="Microsoft YaHei UI" w:eastAsia="Microsoft YaHei UI" w:hAnsi="Microsoft YaHei UI" w:cs="Microsoft YaHei UI"/>
          <w:b/>
          <w:bCs/>
          <w:color w:val="FF4C41"/>
          <w:spacing w:val="8"/>
          <w:sz w:val="26"/>
          <w:szCs w:val="26"/>
        </w:rPr>
        <w:t>特别行政区政府</w:t>
      </w:r>
      <w:r>
        <w:rPr>
          <w:rStyle w:val="richmediacontentany"/>
          <w:rFonts w:ascii="Microsoft YaHei UI" w:eastAsia="Microsoft YaHei UI" w:hAnsi="Microsoft YaHei UI" w:cs="Microsoft YaHei UI"/>
          <w:b/>
          <w:bCs/>
          <w:color w:val="000000"/>
          <w:spacing w:val="8"/>
          <w:sz w:val="26"/>
          <w:szCs w:val="26"/>
        </w:rPr>
        <w:t>集中精力提振经济、保障民生，解决深层次问题创造了良好条件</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对中联办的声明，可以关注以下几句话：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1.“这一决定，</w:t>
      </w:r>
      <w:r>
        <w:rPr>
          <w:rStyle w:val="richmediacontentany"/>
          <w:rFonts w:ascii="Microsoft YaHei UI" w:eastAsia="Microsoft YaHei UI" w:hAnsi="Microsoft YaHei UI" w:cs="Microsoft YaHei UI"/>
          <w:b/>
          <w:bCs/>
          <w:color w:val="333333"/>
          <w:spacing w:val="8"/>
          <w:sz w:val="26"/>
          <w:szCs w:val="26"/>
        </w:rPr>
        <w:t>对确保</w:t>
      </w:r>
      <w:r>
        <w:rPr>
          <w:rStyle w:val="richmediacontentany"/>
          <w:rFonts w:ascii="Microsoft YaHei UI" w:eastAsia="Microsoft YaHei UI" w:hAnsi="Microsoft YaHei UI" w:cs="Microsoft YaHei UI"/>
          <w:b/>
          <w:bCs/>
          <w:color w:val="FF4C41"/>
          <w:spacing w:val="8"/>
          <w:sz w:val="26"/>
          <w:szCs w:val="26"/>
        </w:rPr>
        <w:t>香港特区管治架构中从政者</w:t>
      </w:r>
      <w:r>
        <w:rPr>
          <w:rStyle w:val="richmediacontentany"/>
          <w:rFonts w:ascii="Microsoft YaHei UI" w:eastAsia="Microsoft YaHei UI" w:hAnsi="Microsoft YaHei UI" w:cs="Microsoft YaHei UI"/>
          <w:b/>
          <w:bCs/>
          <w:color w:val="333333"/>
          <w:spacing w:val="8"/>
          <w:sz w:val="26"/>
          <w:szCs w:val="26"/>
        </w:rPr>
        <w:t>履行对国家和特区效忠的宪制责任，在制度上划定了底线、立下了规矩</w:t>
      </w:r>
      <w:r>
        <w:rPr>
          <w:rFonts w:ascii="Microsoft YaHei UI" w:eastAsia="Microsoft YaHei UI" w:hAnsi="Microsoft YaHei UI" w:cs="Microsoft YaHei UI"/>
          <w:color w:val="333333"/>
          <w:spacing w:val="8"/>
          <w:sz w:val="26"/>
          <w:szCs w:val="26"/>
        </w:rPr>
        <w:t>，同时</w:t>
      </w:r>
      <w:r>
        <w:rPr>
          <w:rStyle w:val="richmediacontentany"/>
          <w:rFonts w:ascii="Microsoft YaHei UI" w:eastAsia="Microsoft YaHei UI" w:hAnsi="Microsoft YaHei UI" w:cs="Microsoft YaHei UI"/>
          <w:b/>
          <w:bCs/>
          <w:color w:val="333333"/>
          <w:spacing w:val="8"/>
          <w:sz w:val="26"/>
          <w:szCs w:val="26"/>
        </w:rPr>
        <w:t>也为香港特区根据全国人大常委会有关解释和决定开展基本法第104条</w:t>
      </w:r>
      <w:r>
        <w:rPr>
          <w:rStyle w:val="richmediacontentany"/>
          <w:rFonts w:ascii="Microsoft YaHei UI" w:eastAsia="Microsoft YaHei UI" w:hAnsi="Microsoft YaHei UI" w:cs="Microsoft YaHei UI"/>
          <w:b/>
          <w:bCs/>
          <w:color w:val="FF4C41"/>
          <w:spacing w:val="8"/>
          <w:sz w:val="26"/>
          <w:szCs w:val="26"/>
        </w:rPr>
        <w:t>本地立法</w:t>
      </w:r>
      <w:r>
        <w:rPr>
          <w:rStyle w:val="richmediacontentany"/>
          <w:rFonts w:ascii="Microsoft YaHei UI" w:eastAsia="Microsoft YaHei UI" w:hAnsi="Microsoft YaHei UI" w:cs="Microsoft YaHei UI"/>
          <w:b/>
          <w:bCs/>
          <w:color w:val="333333"/>
          <w:spacing w:val="8"/>
          <w:sz w:val="26"/>
          <w:szCs w:val="26"/>
        </w:rPr>
        <w:t>工作</w:t>
      </w:r>
      <w:r>
        <w:rPr>
          <w:rFonts w:ascii="Microsoft YaHei UI" w:eastAsia="Microsoft YaHei UI" w:hAnsi="Microsoft YaHei UI" w:cs="Microsoft YaHei UI"/>
          <w:color w:val="333333"/>
          <w:spacing w:val="8"/>
          <w:sz w:val="26"/>
          <w:szCs w:val="26"/>
        </w:rPr>
        <w:t>，进一步提供了法律支撑。”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w:t>
      </w:r>
      <w:r>
        <w:rPr>
          <w:rStyle w:val="richmediacontentany"/>
          <w:rFonts w:ascii="Microsoft YaHei UI" w:eastAsia="Microsoft YaHei UI" w:hAnsi="Microsoft YaHei UI" w:cs="Microsoft YaHei UI"/>
          <w:b/>
          <w:bCs/>
          <w:color w:val="333333"/>
          <w:spacing w:val="8"/>
          <w:sz w:val="26"/>
          <w:szCs w:val="26"/>
        </w:rPr>
        <w:t>支持特区政府坚定贯彻</w:t>
      </w:r>
      <w:r>
        <w:rPr>
          <w:rStyle w:val="richmediacontentany"/>
          <w:rFonts w:ascii="Microsoft YaHei UI" w:eastAsia="Microsoft YaHei UI" w:hAnsi="Microsoft YaHei UI" w:cs="Microsoft YaHei UI"/>
          <w:b/>
          <w:bCs/>
          <w:color w:val="FF4C41"/>
          <w:spacing w:val="8"/>
          <w:sz w:val="26"/>
          <w:szCs w:val="26"/>
        </w:rPr>
        <w:t>国家意志</w:t>
      </w:r>
      <w:r>
        <w:rPr>
          <w:rStyle w:val="richmediacontentany"/>
          <w:rFonts w:ascii="Microsoft YaHei UI" w:eastAsia="Microsoft YaHei UI" w:hAnsi="Microsoft YaHei UI" w:cs="Microsoft YaHei UI"/>
          <w:b/>
          <w:bCs/>
          <w:color w:val="333333"/>
          <w:spacing w:val="8"/>
          <w:sz w:val="26"/>
          <w:szCs w:val="26"/>
        </w:rPr>
        <w:t>和</w:t>
      </w:r>
      <w:r>
        <w:rPr>
          <w:rStyle w:val="richmediacontentany"/>
          <w:rFonts w:ascii="Microsoft YaHei UI" w:eastAsia="Microsoft YaHei UI" w:hAnsi="Microsoft YaHei UI" w:cs="Microsoft YaHei UI"/>
          <w:b/>
          <w:bCs/>
          <w:color w:val="FF4C41"/>
          <w:spacing w:val="8"/>
          <w:sz w:val="26"/>
          <w:szCs w:val="26"/>
        </w:rPr>
        <w:t>宪法精神</w:t>
      </w:r>
      <w:r>
        <w:rPr>
          <w:rFonts w:ascii="Microsoft YaHei UI" w:eastAsia="Microsoft YaHei UI" w:hAnsi="Microsoft YaHei UI" w:cs="Microsoft YaHei UI"/>
          <w:color w:val="333333"/>
          <w:spacing w:val="8"/>
          <w:sz w:val="26"/>
          <w:szCs w:val="26"/>
        </w:rPr>
        <w:t>，切实维护特区宪制秩序。”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3.“香港是中国的一个特别行政区，</w:t>
      </w:r>
      <w:r>
        <w:rPr>
          <w:rStyle w:val="richmediacontentany"/>
          <w:rFonts w:ascii="Microsoft YaHei UI" w:eastAsia="Microsoft YaHei UI" w:hAnsi="Microsoft YaHei UI" w:cs="Microsoft YaHei UI"/>
          <w:b/>
          <w:bCs/>
          <w:color w:val="333333"/>
          <w:spacing w:val="8"/>
          <w:sz w:val="26"/>
          <w:szCs w:val="26"/>
        </w:rPr>
        <w:t>爱国爱港是</w:t>
      </w:r>
      <w:r>
        <w:rPr>
          <w:rStyle w:val="richmediacontentany"/>
          <w:rFonts w:ascii="Microsoft YaHei UI" w:eastAsia="Microsoft YaHei UI" w:hAnsi="Microsoft YaHei UI" w:cs="Microsoft YaHei UI"/>
          <w:b/>
          <w:bCs/>
          <w:color w:val="FF4C41"/>
          <w:spacing w:val="8"/>
          <w:sz w:val="26"/>
          <w:szCs w:val="26"/>
        </w:rPr>
        <w:t>每一名特区从政者</w:t>
      </w:r>
      <w:r>
        <w:rPr>
          <w:rStyle w:val="richmediacontentany"/>
          <w:rFonts w:ascii="Microsoft YaHei UI" w:eastAsia="Microsoft YaHei UI" w:hAnsi="Microsoft YaHei UI" w:cs="Microsoft YaHei UI"/>
          <w:b/>
          <w:bCs/>
          <w:color w:val="333333"/>
          <w:spacing w:val="8"/>
          <w:sz w:val="26"/>
          <w:szCs w:val="26"/>
        </w:rPr>
        <w:t>必须坚守的政治伦理</w:t>
      </w:r>
      <w:r>
        <w:rPr>
          <w:rFonts w:ascii="Microsoft YaHei UI" w:eastAsia="Microsoft YaHei UI" w:hAnsi="Microsoft YaHei UI" w:cs="Microsoft YaHei UI"/>
          <w:color w:val="333333"/>
          <w:spacing w:val="8"/>
          <w:sz w:val="26"/>
          <w:szCs w:val="26"/>
        </w:rPr>
        <w:t>，也是宪法和基本法的根本要求。”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4.“‘一国两制’下的</w:t>
      </w:r>
      <w:r>
        <w:rPr>
          <w:rStyle w:val="richmediacontentany"/>
          <w:rFonts w:ascii="Microsoft YaHei UI" w:eastAsia="Microsoft YaHei UI" w:hAnsi="Microsoft YaHei UI" w:cs="Microsoft YaHei UI"/>
          <w:b/>
          <w:bCs/>
          <w:color w:val="333333"/>
          <w:spacing w:val="8"/>
          <w:sz w:val="26"/>
          <w:szCs w:val="26"/>
        </w:rPr>
        <w:t>特别行政区制度需要在实践中不断</w:t>
      </w:r>
      <w:r>
        <w:rPr>
          <w:rStyle w:val="richmediacontentany"/>
          <w:rFonts w:ascii="Microsoft YaHei UI" w:eastAsia="Microsoft YaHei UI" w:hAnsi="Microsoft YaHei UI" w:cs="Microsoft YaHei UI"/>
          <w:b/>
          <w:bCs/>
          <w:color w:val="FF4C41"/>
          <w:spacing w:val="8"/>
          <w:sz w:val="26"/>
          <w:szCs w:val="26"/>
        </w:rPr>
        <w:t>发展、完善、定型</w:t>
      </w:r>
      <w:r>
        <w:rPr>
          <w:rFonts w:ascii="Microsoft YaHei UI" w:eastAsia="Microsoft YaHei UI" w:hAnsi="Microsoft YaHei UI" w:cs="Microsoft YaHei UI"/>
          <w:color w:val="333333"/>
          <w:spacing w:val="8"/>
          <w:sz w:val="26"/>
          <w:szCs w:val="26"/>
        </w:rPr>
        <w:t>，一些管根本、管长远的规矩必须立起来。”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由此，可以看出两办声明要表达的意思：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1.人大决定是中央坚定落实全面管治权的行动表现；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2.人大决定是制度性安排，不是简单地就事论事；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3.人大决定在于规范“港人治港”，不只是厘清议员资格问题；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4.人大决定考虑国家安全，并统筹考虑特区发展；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5.人大决定类似做法，是进行时，也是将来时。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人大最新涉港决定不简单。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面对新的精确打击，因国安法而阵型大乱、手足无措的香港反对派，正陷于新的“恐惧”中。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曾经，他们在几近完全自由的社会政治环境中不可一世、予取予夺，在议会、街头和所谓“国际战线”上呼风唤雨。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给了他们极大的错觉，让他们有了严重的误判。当修例风波跨过中央明确的“三条底线”，对香港的整体利益和国家的根本利益产生重大威胁时，他们还为此洋洋自得，甚至他们中的那些传统的爱国民主力量也选择站在了暴徒的一边，“信心满满”地期待中央的“妥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没见识过真正力量的香港反对派，错得离谱，在错误的道路上走得太远了。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2015年10月，时任特首梁振英出席立法会会议。他在回答反对派议员提问时说，“牢骚太盛防肠断”。这是毛泽东诗词《七律·和柳亚子先生》中的一句话，另外一句“风物长宜放眼量”他没有讲出。然而，今天，香港反对派“肠断”之余，应该明白了这另外一句的真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这是短视且自负的香港反对派，必须付出的代价。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人大作出决定后，香港反对派议员“选择”了不彻底的“总辞”。目前香港立法会里，只有从他们当中分裂出来的孤孤单单的两个身影，标注了他们的穷途末路。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然而，对此，中央不care！</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一年多来的香港局势已经大变。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了香港国安法，修例风波这样的政治暴动不会再现；有了人大最新涉港决定，2016年第六届立法会就职宣誓时的混乱场面不会再现；有了落实中央全面管治权的持续行动，香港的建制舞台上，不会再留有任何人士挑战“三条底线”的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香港新时代发展智库主席屠海鸣日前说，香港反对派须看明白，利用参政议政的权力对抗中央、反对‘一国’的日子一去不复还了，反对派所谓的“议会路线”已经崩溃了。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而这一切，全因反对派而起。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香港政治体制中，不是不允许反对派的存在。在国安法公布施行后，港澳办副主任张晓明还坦言，中央没有把“泛民”当作假想敌。他们本来可以有自己的舞台，可以有效作为，但他们选择了藐视中央，逾越底线，站在了“一国两制”的对立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是他们自己“争取”到了香港国安法和人大决定，自己终结了自己的命运。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当立法会里没有了反对派的吵闹声，街头上没有了黑衣人的身影，当香港市民看到香港国安法和人大决定影响的只是那些上蹿下跳、兴风作浪、唯恐天下不安的反中乱港分子时，曾经支持他们的人或许也会转态，让他们失去最后的依靠，彻底沦为孤家寡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如果可以，他们也许会重新选择回到修例风波中，大声谴责暴力，奉劝走上街头的年轻人回到家里、回到校园。然而，他们今天必须要偿付这代价。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人大作出最新涉港决定后，香港立法会里反对派已经腾出的空间，需要有人填补。但这不会自然发生，而是视乎香港建制派作用的发挥。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于此方面，</w:t>
      </w:r>
      <w:r>
        <w:rPr>
          <w:rStyle w:val="richmediacontentany"/>
          <w:rFonts w:ascii="Microsoft YaHei UI" w:eastAsia="Microsoft YaHei UI" w:hAnsi="Microsoft YaHei UI" w:cs="Microsoft YaHei UI"/>
          <w:b/>
          <w:bCs/>
          <w:color w:val="FF4C41"/>
          <w:spacing w:val="8"/>
          <w:sz w:val="26"/>
          <w:szCs w:val="26"/>
        </w:rPr>
        <w:t>香港建制派需要认识到四点</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1.中央划定的是底线，立法会要有序，更要有为；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2.和反对派作斗争是建制派的工作，却不是唯一的工作；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3.立法会监察特区政府，是固有职责，不因反对派消失而消失；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4.不能为了立法会里要有反对声音而发出反对声音，建制派不能扮演“反对派”。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正如靖海侯此前多次批评，新的政治环境下，新的更趋开阔的政治舞台上，香港的建制派需要注重内功的修炼，提升参政议政的能力。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只会喊口号、表立场，与反对派作口舌之争的表达习惯、行为模式和工作特点，需要革新了。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新的格局调整重塑中，同样涉及的，还有特区政府。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这里也</w:t>
      </w:r>
      <w:r>
        <w:rPr>
          <w:rStyle w:val="richmediacontentany"/>
          <w:rFonts w:ascii="Microsoft YaHei UI" w:eastAsia="Microsoft YaHei UI" w:hAnsi="Microsoft YaHei UI" w:cs="Microsoft YaHei UI"/>
          <w:b/>
          <w:bCs/>
          <w:color w:val="FF4C41"/>
          <w:spacing w:val="8"/>
          <w:sz w:val="26"/>
          <w:szCs w:val="26"/>
        </w:rPr>
        <w:t>需要特区政府统一三个方面的认识</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1.落实中央全面管治权，中央会有行动，但不可一味依赖和等待，应当拿出政治魄力和担当，积极面对并主动化解有关问题；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2.行政主导体制是宪制架构，落实落地靠的制度机制更是政治实践，要树立行政的权威，必须</w:t>
      </w:r>
      <w:r>
        <w:rPr>
          <w:rStyle w:val="richmediacontentany"/>
          <w:rFonts w:ascii="Microsoft YaHei UI" w:eastAsia="Microsoft YaHei UI" w:hAnsi="Microsoft YaHei UI" w:cs="Microsoft YaHei UI"/>
          <w:b/>
          <w:bCs/>
          <w:color w:val="333333"/>
          <w:spacing w:val="8"/>
          <w:sz w:val="26"/>
          <w:szCs w:val="26"/>
        </w:rPr>
        <w:t>有</w:t>
      </w:r>
      <w:r>
        <w:rPr>
          <w:rStyle w:val="richmediacontentany"/>
          <w:rFonts w:ascii="Microsoft YaHei UI" w:eastAsia="Microsoft YaHei UI" w:hAnsi="Microsoft YaHei UI" w:cs="Microsoft YaHei UI"/>
          <w:b/>
          <w:bCs/>
          <w:color w:val="333333"/>
          <w:spacing w:val="8"/>
          <w:sz w:val="26"/>
          <w:szCs w:val="26"/>
        </w:rPr>
        <w:t>准确识变、科学应变、主动求变的战略安排和行动计划，不要再像以前那样被动；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3.要对照人大最新涉港决定，自觉对标对标，刀刃向内，对现有的公务员队伍来一次“整风运动”，把潜藏在队伍中的“害群之马”真正清理出去。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事了，特区解决不了，就大大方方向中央请求；面对立法和司法，行政长官就要有长官意识，该规导的规导，该矫正的矫正；对教育等公益服务里的乱象，主动干预乃至直接介入，都不要以为是难以启齿和不能公开的工作，完全可以正大光明、理直气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行政主导就是行政主导，不能主导，那就是能力问题，胜任力问题，能不能继续履职的问题。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回归二十三年了，行政不能还是“巨婴”，或任人打扮乃至欺辱。雷霆手段和菩萨心肠，都要在该展现的地方展现出来，展现施政的威严，展现为市民服务的赤忱。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十一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靖海侯担心的是，走上穷途末路的反对派，会生出更危险的想法。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修例风波中，暴力一度成风，为本土恐怖主义的“孵化”提供了试验场。彼时，他们可以肆无忌惮、随心所欲地组织策划自己的行动。而</w:t>
      </w:r>
      <w:r>
        <w:rPr>
          <w:rStyle w:val="richmediacontentany"/>
          <w:rFonts w:ascii="Microsoft YaHei UI" w:eastAsia="Microsoft YaHei UI" w:hAnsi="Microsoft YaHei UI" w:cs="Microsoft YaHei UI"/>
          <w:b/>
          <w:bCs/>
          <w:color w:val="333333"/>
          <w:spacing w:val="8"/>
          <w:sz w:val="26"/>
          <w:szCs w:val="26"/>
        </w:rPr>
        <w:t>当其所谓街头、议会路线全部崩溃后，在反中乱港的思潮和基础又不会突然消失的情况下，这些破坏性的压力会因无处释放在香港内部和深层次集聚，并寻求点上的突破。而这，将有概率导致</w:t>
      </w:r>
      <w:r>
        <w:rPr>
          <w:rStyle w:val="richmediacontentany"/>
          <w:rFonts w:ascii="Microsoft YaHei UI" w:eastAsia="Microsoft YaHei UI" w:hAnsi="Microsoft YaHei UI" w:cs="Microsoft YaHei UI"/>
          <w:b/>
          <w:bCs/>
          <w:color w:val="FF4C41"/>
          <w:spacing w:val="8"/>
          <w:sz w:val="26"/>
          <w:szCs w:val="26"/>
        </w:rPr>
        <w:t>真正的本土恐怖主义</w:t>
      </w:r>
      <w:r>
        <w:rPr>
          <w:rStyle w:val="richmediacontentany"/>
          <w:rFonts w:ascii="Microsoft YaHei UI" w:eastAsia="Microsoft YaHei UI" w:hAnsi="Microsoft YaHei UI" w:cs="Microsoft YaHei UI"/>
          <w:b/>
          <w:bCs/>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对于有前科的他们，此事不能不防。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十二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香港问题是复杂的，重建社会政治基础是系统工程，是长远工程。香港国安法和人大最新涉港决定，只是香港再出发的序章。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如今香港形势向好，却远没到可以放松的时候，两个立法对于来年立法会选举的影响，亦有变数。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靖海侯最后想对香港社会说的是，“一国两制”四个字，有“一国”，也有“两制”，是两者的统一有利于香港，还是两者的对立有利于香港？是要两者的共同进步，还是要两者的水火不容？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香港回归23年了，直到今天，中央的所做作为都是划底线，香港的资本主义制度没变，香港享有高度自治，香港一直是“港人治港”。且，中央希望这样的“一国两制”方针，能够在香港行稳致远。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香港社会当珍重现在，慎重所应慎重的，让中央放心。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864&amp;idx=1&amp;sn=636e903451d8d38202d7188395eadb46&amp;chksm=fe3bcae4c94c43f26dcacafc1306a78cd42f7bae1f163ebb3ae90e1de209bb70a2cdef4de33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纸老虎与香港反对派的没落</dc:title>
  <cp:revision>1</cp:revision>
</cp:coreProperties>
</file>