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回归第25年，香港的5大任务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2021-07-03</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7月1日的香港，尖沙咀红旗漫卷，刷着“贺建党百年，庆香港回归”标语的叮叮车在港岛穿越，纪律部队在金紫荆广场上迈起了中式步操。这是香港2020年前不曾想象的景象。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实施国安法、完善选举制度，在回归的第24个年头，在祖国香港的这片土地上，整体局面扭转，太多变化发生，一个“旧香港”被刷新，一个“新香港”诞生了。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天，香港中联办组织18支队伍共300个小组的义工团，深入1500户基层家庭探访。中联办表示，他们将坚守“一国两制”初心，坚持为民宗旨，积极推动香港解决市民的关心事、困难事。香港好了起来，中联办走了出去，一切都是欣欣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同日上午，习近平总书记在庆祝建党百年大会的讲话中说：“现在，中国共产党团结带领中国人民又踏上了实现第二个百年奋斗目标新的赶考之路。”站在新的历史起点上的香港，又何尝不在其中、不是如此？！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香港新的历史篇章正在书写，香港新的历史篇章尚未完结。确保长期繁荣稳定，香港回归的第24年创建了一个新的起点，而香港回归的第25年已经开始新的起步。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这一年，承上启下，关系香港局势的稳固，关系香港历史的转折，关系重大且深远。这一年可见的几项工作任务，已经摆在面前，必须完成，必须完成好。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任务一：选出一个团队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全国人大决定并立法，完善香港特区选举制度，香港特区落实完成本地立法，通过《2021年完善选举制度（综合修订）条例》。“爱国者治港”原则在法律制度层面得到体现并得以保障。而能否真正全面贯彻落实“爱国者治港”原则，尚需实践检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这一年，香港将有三场重要选举进行：选委会选举、立法会选举、特首选举。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尽管香港特区选举制度经过完善，确保了爱国者的进入、反中乱港分子的出局，确保了选委会1500席、立法会90席以“爱国者为主体”，但选举：1.能否顺利组织实施；2.能否实现广泛参与；3.能否最终选出既有爱国爱港立场又有爱国爱港能力的管治团队等方面，仍有一定风险和不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在香港新的“赶考之路”上，一支忠诚可靠、担当有为的管治团队极其重要。这一年，特区选出一个团队、选出一个好团队，关系香港拨乱反正的成效，关系香港由治及兴的进程。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于此方面，对中央及中央有关部门来说，须</w:t>
      </w:r>
      <w:r>
        <w:rPr>
          <w:rStyle w:val="richmediacontentany"/>
          <w:rFonts w:ascii="Microsoft YaHei UI" w:eastAsia="Microsoft YaHei UI" w:hAnsi="Microsoft YaHei UI" w:cs="Microsoft YaHei UI"/>
          <w:b/>
          <w:bCs/>
          <w:color w:val="FF4C00"/>
          <w:spacing w:val="8"/>
          <w:sz w:val="26"/>
          <w:szCs w:val="26"/>
        </w:rPr>
        <w:t>尽领导监管之责</w:t>
      </w:r>
      <w:r>
        <w:rPr>
          <w:rStyle w:val="richmediacontentany"/>
          <w:rFonts w:ascii="Microsoft YaHei UI" w:eastAsia="Microsoft YaHei UI" w:hAnsi="Microsoft YaHei UI" w:cs="Microsoft YaHei UI"/>
          <w:b/>
          <w:bCs/>
          <w:color w:val="333333"/>
          <w:spacing w:val="8"/>
          <w:sz w:val="26"/>
          <w:szCs w:val="26"/>
        </w:rPr>
        <w:t>；对特区政府来说，须</w:t>
      </w:r>
      <w:r>
        <w:rPr>
          <w:rStyle w:val="richmediacontentany"/>
          <w:rFonts w:ascii="Microsoft YaHei UI" w:eastAsia="Microsoft YaHei UI" w:hAnsi="Microsoft YaHei UI" w:cs="Microsoft YaHei UI"/>
          <w:b/>
          <w:bCs/>
          <w:color w:val="FF4C00"/>
          <w:spacing w:val="8"/>
          <w:sz w:val="26"/>
          <w:szCs w:val="26"/>
        </w:rPr>
        <w:t>尽动员组织之力</w:t>
      </w:r>
      <w:r>
        <w:rPr>
          <w:rStyle w:val="richmediacontentany"/>
          <w:rFonts w:ascii="Microsoft YaHei UI" w:eastAsia="Microsoft YaHei UI" w:hAnsi="Microsoft YaHei UI" w:cs="Microsoft YaHei UI"/>
          <w:b/>
          <w:bCs/>
          <w:color w:val="333333"/>
          <w:spacing w:val="8"/>
          <w:sz w:val="26"/>
          <w:szCs w:val="26"/>
        </w:rPr>
        <w:t>；对将要投身选举的各方来说，须</w:t>
      </w:r>
      <w:r>
        <w:rPr>
          <w:rStyle w:val="richmediacontentany"/>
          <w:rFonts w:ascii="Microsoft YaHei UI" w:eastAsia="Microsoft YaHei UI" w:hAnsi="Microsoft YaHei UI" w:cs="Microsoft YaHei UI"/>
          <w:b/>
          <w:bCs/>
          <w:color w:val="FF4C00"/>
          <w:spacing w:val="8"/>
          <w:sz w:val="26"/>
          <w:szCs w:val="26"/>
        </w:rPr>
        <w:t>尽许港报国之心</w:t>
      </w:r>
      <w:r>
        <w:rPr>
          <w:rStyle w:val="richmediacontentany"/>
          <w:rFonts w:ascii="Microsoft YaHei UI" w:eastAsia="Microsoft YaHei UI" w:hAnsi="Microsoft YaHei UI" w:cs="Microsoft YaHei UI"/>
          <w:b/>
          <w:bCs/>
          <w:color w:val="333333"/>
          <w:spacing w:val="8"/>
          <w:sz w:val="26"/>
          <w:szCs w:val="26"/>
        </w:rPr>
        <w:t>；对香港广大市民来说，亦须</w:t>
      </w:r>
      <w:r>
        <w:rPr>
          <w:rStyle w:val="richmediacontentany"/>
          <w:rFonts w:ascii="Microsoft YaHei UI" w:eastAsia="Microsoft YaHei UI" w:hAnsi="Microsoft YaHei UI" w:cs="Microsoft YaHei UI"/>
          <w:b/>
          <w:bCs/>
          <w:color w:val="FF4C00"/>
          <w:spacing w:val="8"/>
          <w:sz w:val="26"/>
          <w:szCs w:val="26"/>
        </w:rPr>
        <w:t>尽可能参与其中</w:t>
      </w:r>
      <w:r>
        <w:rPr>
          <w:rStyle w:val="richmediacontentany"/>
          <w:rFonts w:ascii="Microsoft YaHei UI" w:eastAsia="Microsoft YaHei UI" w:hAnsi="Microsoft YaHei UI" w:cs="Microsoft YaHei UI"/>
          <w:b/>
          <w:bCs/>
          <w:color w:val="333333"/>
          <w:spacing w:val="8"/>
          <w:sz w:val="26"/>
          <w:szCs w:val="26"/>
        </w:rPr>
        <w:t>，以充分行使选举权利捍卫香港新的繁荣稳定。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任务二：稳定一个大局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习近平总书记在庆祝建党百年大会上，问候香港同胞，展望香港发展，关于港澳工作6句话中，“维护特别行政区社会大局稳定”属最新表述。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2017年，总书记到香港参加20周年回归庆典，甫到香港即言：“香港发展一直牵动我的心。”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总书记对香港的关怀一以贯之，总书记关于香港的每一句表述都体现了中央的判断、中央的思考、中央的深意。从总书记这句最新表述中，我们至少可以有三点体会：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对香港时局作总体把握，基本可控；</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对香港态势持谨慎乐观，总体向好；</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对香港发展划底限标准，从此起步。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这句话，统筹时与势、情与理，兼具现实意义与长远意义，值得反复品味。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要心怀“港之大者”，而稳定是其中要义；</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要走出坚实步伐，必须防范麻痹大意；</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要统筹发展与安全，将发展建基于安全之上。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b/>
          <w:bCs/>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香港拨乱反正，中央和特区付出巨大努力，局势在向好；香港由乱及治，中央和特区需要久久为功，守好新的基本盘。反中乱港势力被打垮，却还没有消失；爱国爱港力量在崛起，但仍需要厚植。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稳中求进，才是香港发展的路线。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在总书记的6句话中，我们可以同样找到确保香港社会大局稳定的方法论：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全面准确贯彻“一国两制”、“港人治港”、高度自治的方针；</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落实中央对香港的全面管治权；</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落实特区维护国家安全的法律制度和执行机制。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大的方针不动摇，宪制体系立得住，国家安全维护好，香港社会大局稳定就能办得到。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任务三：形成一个自觉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香港国安法自2020年6月30日生效实施，牵动香港全局，扭转香港局面，止暴制乱的目的已经基本实现。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过去一年，“港独”组织溃败，反中乱港势力溃逃，挑战国家底限者被逐一惩处，《苹果日报》亦选择关门倒闭，凸显了国安法的威力，也向香港社会传递了维护国家主权、安全、发展利益的坚定意志。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社会已经正视国安法、接受国安法的存在，但让国安法深入人心，让维护国家主权、安全、发展利益成为香港社会的整体意识和集体自觉，仍然需要国安法执行力度不减、宣传力度不减。要达到国安法在香港“失之则难存，受益而不觉”的理想状态，仍需要加强对香港社会的教育和引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唯有在国安法下，市民自觉正其身、主动远离反中乱港分子，各方自觉践其责、不给反中乱港空间，社会自觉合其力、能够共同防范制止反中乱港活动，香港拨乱反正才会一马平川，香港由乱及兴才能持续前进。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自觉，需要塑造。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目前，特区政府已加强公职人员管理、改革通识教育课，加入国安法内容。但把考核变成考用、让课本走向课堂，使认识与实践统一，特区政府还有很多工作要做，很多基础工程要搞。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这一年，学习宣传、贯彻落实国安法，仍需成为香港社会的主题词。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任务四：重启一个工作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2020年5月22日，全国人大常委会副委员长王晨在关于《全国人民代表大会关于建立健全香港特别行政区维护国家安全的法律制度和执行机制的决定（草案）》的说明中明确指出：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香港基本法第23条规定：“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这一规定就是通常所说的23条立法。它既体现了国家对香港特别行政区的信任，也明确了香港特别行政区负有维护国家安全的宪制责任和立法义务。然而，香港回归20多年来，由于反中乱港势力和外部敌对势力的极力阻挠、干扰，23条立法一直没有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因为不能完成，所以中央直接出手制定香港国安法；因为没有完成，所以香港特区必须完成。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按基本法要求，在中央看来，23条立法与香港国安法是一码事又不是一码事，不存在相互替代关系。中央制定颁布香港国安法并不意味着香港特区23条立法失去了必要性和紧迫性。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从2003年立法失败至今，香港已错失了18年的时间。如果说过去社会环境不允许、社会基础不具备、社会氛围不友好，今天的香港，已经没有理由再搁置此立法任务，再推卸自身维护国家安全的立法责任。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林郑月娥说，香港正重新出发。在香港重新出发的路标中，除了国安法和新的选举制度，23条立法也应是一个重要标志。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有了国安法保障，有了立法的环境和基础，更有中央要求与期望、市民呼声与诉求，再启动23条立法正是顺势而为，正可一举成功。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在香港回归的第25年，在“一国两制”香港事业走过实践中期的关键时间节点，23条立法可以有。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任务五：画出一个蓝图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中联办在七一组织300个小组落区时表示：“相信有中央的坚强领导和特区的依法施政，有广大香港市民的共同努力，在破解深层次矛盾上攻坚克难、久久为功，香港眼前的困难都会过去，明天一定更好。”其中表述，体现了中央对香港新的期望，对香港破解深层次矛盾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随着香港拨乱反正，香港社会的主要矛盾和香港工作的重心也随之变化、调整。突破发展瓶颈、解决民生问题，已经摆在了特区工作的最前面。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所谓统筹发展与安全，固然要以安全为基石，但如果不同步推进发展，安全本身的基石也不会稳固。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特区需要跟过去的自己告别了：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施政规划更清晰些，而不是议而不决、决而不行，还像过去一样零敲碎打或者拆西墙补东墙，对今天正干的事不能把握，对明天要干的事不够清楚；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施政行动更坚决些，而不是瞻前顾后、左右逡巡，还像过去一样缩手缩脚或者两天捕鱼三天晒网，对真正的民情不能回应，对深刻的矛盾束手无策；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施政路线更长远些，而不是前后矛盾、相互否定，还像过去一样纷繁嘈杂或者像狗熊掰棒子顾此失彼，将一张张蓝图又变成草图，让一个个规划总停留在纸上。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大屿山填海造地计划是不是在紧锣密鼓地推进？大湾区建设步伐是不是在锵锵有力地迈出？青年创业难与就业难、上流难与上楼难的问题是不是有了方略和举措？要重塑香港市民希望，需要特区政府在这新的回归年里拿出蓝图，拿出一张可以一任一任干到底的蓝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这蓝图就是路线图，就是时间表，就是满足市民对美好生活向往的责任书和承诺书。这张新的蓝图，应当区别于行政长官每年例行发表的施政报告，应当描绘出香港未来25年“一国两制”事业的前景。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江山就是人民，人民就是江山。习近平总书记在七一重要讲话中说：打江山、守江山，守的是人民的心。在香港回归的第25个年头里，在新的历史起点上，亟待香港各方展现这一理念精神，用新的</w:t>
      </w:r>
      <w:r>
        <w:rPr>
          <w:rStyle w:val="richmediacontentany"/>
          <w:rFonts w:ascii="Microsoft YaHei UI" w:eastAsia="Microsoft YaHei UI" w:hAnsi="Microsoft YaHei UI" w:cs="Microsoft YaHei UI"/>
          <w:color w:val="333333"/>
          <w:spacing w:val="8"/>
          <w:sz w:val="27"/>
          <w:szCs w:val="27"/>
        </w:rPr>
        <w:t>有力的且主动的行动再次</w:t>
      </w:r>
      <w:r>
        <w:rPr>
          <w:rStyle w:val="richmediacontentany"/>
          <w:rFonts w:ascii="Microsoft YaHei UI" w:eastAsia="Microsoft YaHei UI" w:hAnsi="Microsoft YaHei UI" w:cs="Microsoft YaHei UI"/>
          <w:color w:val="333333"/>
          <w:spacing w:val="8"/>
          <w:sz w:val="27"/>
          <w:szCs w:val="27"/>
        </w:rPr>
        <w:t>刷</w:t>
      </w:r>
      <w:r>
        <w:rPr>
          <w:rStyle w:val="richmediacontentany"/>
          <w:rFonts w:ascii="Microsoft YaHei UI" w:eastAsia="Microsoft YaHei UI" w:hAnsi="Microsoft YaHei UI" w:cs="Microsoft YaHei UI"/>
          <w:color w:val="333333"/>
          <w:spacing w:val="8"/>
          <w:sz w:val="27"/>
          <w:szCs w:val="27"/>
        </w:rPr>
        <w:t>新</w:t>
      </w:r>
      <w:r>
        <w:rPr>
          <w:rStyle w:val="richmediacontentany"/>
          <w:rFonts w:ascii="Microsoft YaHei UI" w:eastAsia="Microsoft YaHei UI" w:hAnsi="Microsoft YaHei UI" w:cs="Microsoft YaHei UI"/>
          <w:color w:val="333333"/>
          <w:spacing w:val="8"/>
          <w:sz w:val="27"/>
          <w:szCs w:val="27"/>
        </w:rPr>
        <w:t>香港的局面</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这五大任务，或就是香港努力的抓手、作为的空间、迭代的基础。</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54&amp;idx=1&amp;sn=2519f1c5eea24126f8888ae18c71c1b7&amp;chksm=fe3bc9c6c94c40d0d6ddd9b25c1d0b8c8d6971e5fd0db0929d8fc62d8eb59f265e51fb0ad4d2&amp;scene=27"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回归第25年，香港的5大任务</dc:title>
  <cp:revision>1</cp:revision>
</cp:coreProperties>
</file>