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维护国家安全的努力不能替代治理好香港的责任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2022-07-21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对香港管治建设，要有信心，也要有督促，并避免其中可能的一些倾向：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1.以维护国家主权、安全、发展利益的努力，淡化或替代推动香港改革建设发展的努力；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2.以旗帜鲜明的斗争立场、精神和表现，懈怠或补偿治理能力水平的提升；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3.以尊崇、举高“一国”原则为标志，轻视在促进本地社会大团结大联合上的付出。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 w:val="0"/>
          <w:bCs w:val="0"/>
          <w:i w:val="0"/>
          <w:iCs w:val="0"/>
          <w:caps w:val="0"/>
          <w:color w:val="000000"/>
          <w:spacing w:val="0"/>
        </w:rPr>
        <w:t>“一国两制”的根本宗旨是维护国家主权、安全、发展利益，保持香港、澳门长期繁荣稳定。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立足“一国两制”实践宗旨的两个方面，对特区政府的考核维度有两个。这两个维度一体构成，必须一体考虑。它们之间没有“替代关系”、不存在“挤出效应”。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对这一点的认识，实际上亟需明确并强化。也就是说，单独地只是爱国和斗争，不是特区优秀乃至合格的管治者，站姿战绩和实干实绩都不可或缺。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管治者，要敢于表态、勇于斗争，但要防范进入一种“表态文化”，并将“表态”视为工作的全部，视为受信任、得赏识的捷径和窍门。还要防止以贯彻中央精神、服务国家需要为挡箭牌，动不动就拿出“尚方宝剑”处理本地自治事务，将问题简单化，让工作粗暴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31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94&amp;idx=1&amp;sn=5e28d5987f968b656c0e7cee64b85352&amp;chksm=fe3bce2ac94c473cf7e36e4d4fe1ac52d3c69afee6b08a856f0c78adb88801292032c3a1c66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维护国家安全的努力不能替代治理好香港的责任</dc:title>
  <cp:revision>1</cp:revision>
</cp:coreProperties>
</file>