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透过二十大报告，看见香港确定性的未来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2022-10-19</w:t>
      </w:r>
      <w:hyperlink r:id="rId5" w:anchor="wechat_redirect&amp;cpage=6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看五年之变，看十年之变，可以发现国家变化之巨、国家治理之力，更能发现香港变化之巨、特区管治之力。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从面临的形势到发展的态势，从工作的方位到奋斗的方向，从要解决的完善的到要落实的提升的，时代前进了，社会发展了，“一国两制”的新篇章打开了。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二十大报告涉港内容，要精读、细品、深思，关于香港未来的一切，都已确定性地蕴含并昭示其中了。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“五年来，我们党团结带领人民，攻克了许多长期没有解决的难题，办成了许多事关长远的大事要事，推动党和国家事业取得举世瞩目的重大成就。”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历史性变革、历史性成就，透过五年十年的蝶变看清时代发展的轨迹、实践演进的真相，更准确且深刻地理解二十大报告相关内容，需要回到五年前的十九大报告</w:t>
      </w:r>
      <w:r>
        <w:rPr>
          <w:rStyle w:val="richmediacontentany"/>
          <w:rFonts w:ascii="Microsoft YaHei UI" w:eastAsia="Microsoft YaHei UI" w:hAnsi="Microsoft YaHei UI" w:cs="Microsoft YaHei UI"/>
          <w:b/>
          <w:bCs/>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关于“一国两制”和香港，关于已经取得的成就和将要部署的行动，</w:t>
      </w:r>
      <w:r>
        <w:rPr>
          <w:rStyle w:val="richmediacontentany"/>
          <w:rFonts w:ascii="Microsoft YaHei UI" w:eastAsia="Microsoft YaHei UI" w:hAnsi="Microsoft YaHei UI" w:cs="Microsoft YaHei UI"/>
          <w:b/>
          <w:bCs/>
          <w:color w:val="333333"/>
          <w:spacing w:val="8"/>
        </w:rPr>
        <w:t>十九大报告和二十大报告有诸多相同，有诸多不同。这些相同，体现的是不变的路线和方针、管治的逻辑和规律；这些不同，体现的是时代的课题与风貌、管治的进行时和将来时。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把握这些相同，就能把握“一国两制”战略层面上的确定的稳定的发展方向，实践就不会变形走样，香港就不会迷茫错失；把握这些不同，就能把握“一国两制”战术层面上的具体的清晰的发展动向，实践就可以在丰富中发展，香港就可以在时代中前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学习二十大报告精神，就是要把握报告所传递的发展变化的确定性，看到“一国两制”香港事业的应然和必然，据此认识并适应形势、建立并巩固预期、跟进并开始行动。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学习二十大报告精神，就是要通过报告论述所体现的变化，预判并推进“一国两制”新的发展，驾驭并创造香港新的变化。</w:t>
      </w:r>
      <w:r>
        <w:rPr>
          <w:rStyle w:val="richmediacontentany"/>
          <w:rFonts w:ascii="Microsoft YaHei UI" w:eastAsia="Microsoft YaHei UI" w:hAnsi="Microsoft YaHei UI" w:cs="Microsoft YaHei UI"/>
          <w:color w:val="333333"/>
          <w:spacing w:val="8"/>
        </w:rPr>
        <w:t xml:space="preserve">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局势的“三重论述”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关于香港局势，从党的十九大报告到二十大报告，有“三重论述”。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1.十九大前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十九大报告指出，“</w:t>
      </w:r>
      <w:r>
        <w:rPr>
          <w:rStyle w:val="richmediacontentany"/>
          <w:rFonts w:ascii="Microsoft YaHei UI" w:eastAsia="Microsoft YaHei UI" w:hAnsi="Microsoft YaHei UI" w:cs="Microsoft YaHei UI"/>
          <w:b/>
          <w:bCs/>
          <w:color w:val="888888"/>
          <w:spacing w:val="8"/>
        </w:rPr>
        <w:t>保持香港繁荣稳定</w:t>
      </w:r>
      <w:r>
        <w:rPr>
          <w:rStyle w:val="richmediacontentany"/>
          <w:rFonts w:ascii="Microsoft YaHei UI" w:eastAsia="Microsoft YaHei UI" w:hAnsi="Microsoft YaHei UI" w:cs="Microsoft YaHei UI"/>
          <w:color w:val="333333"/>
          <w:spacing w:val="8"/>
        </w:rPr>
        <w:t>”，即十九大前的阶段，香港总体上保持了繁荣稳定。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2.二十大前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二十大报告指出，“</w:t>
      </w:r>
      <w:r>
        <w:rPr>
          <w:rStyle w:val="richmediacontentany"/>
          <w:rFonts w:ascii="Microsoft YaHei UI" w:eastAsia="Microsoft YaHei UI" w:hAnsi="Microsoft YaHei UI" w:cs="Microsoft YaHei UI"/>
          <w:b/>
          <w:bCs/>
          <w:color w:val="888888"/>
          <w:spacing w:val="8"/>
        </w:rPr>
        <w:t>面对香港局势动荡变化”… … “香港局势实现由乱到治的重大转折”，“推动香港进入由乱到治走向由治及兴的新阶段，香港、澳门保持长期繁荣稳定良好态势</w:t>
      </w:r>
      <w:r>
        <w:rPr>
          <w:rStyle w:val="richmediacontentany"/>
          <w:rFonts w:ascii="Microsoft YaHei UI" w:eastAsia="Microsoft YaHei UI" w:hAnsi="Microsoft YaHei UI" w:cs="Microsoft YaHei UI"/>
          <w:color w:val="333333"/>
          <w:spacing w:val="8"/>
        </w:rPr>
        <w:t>”，即二十大前的阶段，香港局势从不定走向稳定、从变局走向定局。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3.二十大后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二十大报告指出，“</w:t>
      </w:r>
      <w:r>
        <w:rPr>
          <w:rStyle w:val="richmediacontentany"/>
          <w:rFonts w:ascii="Microsoft YaHei UI" w:eastAsia="Microsoft YaHei UI" w:hAnsi="Microsoft YaHei UI" w:cs="Microsoft YaHei UI"/>
          <w:b/>
          <w:bCs/>
          <w:color w:val="888888"/>
          <w:spacing w:val="8"/>
        </w:rPr>
        <w:t>保持香港、澳门资本主义制度和生活方式不变，促进香港、澳门长期繁荣稳定</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可以看出，相比十九大的相关论述，二十大报告对香港局势的判断更为果断、更为坚定，对香港态势的判断更加自信、更为乐观。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关于香港的未来，二十大报告提供了“两个确定性”：一是“两制”及香港特殊地位和优势的确定性；二是香港在实现重大转折后进一步巩固夯实社会稳定大局的确定性。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在香港繁荣稳定上，二十大报告加上了“</w:t>
      </w:r>
      <w:r>
        <w:rPr>
          <w:rStyle w:val="richmediacontentany"/>
          <w:rFonts w:ascii="Microsoft YaHei UI" w:eastAsia="Microsoft YaHei UI" w:hAnsi="Microsoft YaHei UI" w:cs="Microsoft YaHei UI"/>
          <w:b/>
          <w:bCs/>
          <w:color w:val="FF4C41"/>
          <w:spacing w:val="8"/>
        </w:rPr>
        <w:t>长期</w:t>
      </w:r>
      <w:r>
        <w:rPr>
          <w:rStyle w:val="richmediacontentany"/>
          <w:rFonts w:ascii="Microsoft YaHei UI" w:eastAsia="Microsoft YaHei UI" w:hAnsi="Microsoft YaHei UI" w:cs="Microsoft YaHei UI"/>
          <w:color w:val="333333"/>
          <w:spacing w:val="8"/>
        </w:rPr>
        <w:t>”和“</w:t>
      </w:r>
      <w:r>
        <w:rPr>
          <w:rStyle w:val="richmediacontentany"/>
          <w:rFonts w:ascii="Microsoft YaHei UI" w:eastAsia="Microsoft YaHei UI" w:hAnsi="Microsoft YaHei UI" w:cs="Microsoft YaHei UI"/>
          <w:b/>
          <w:bCs/>
          <w:color w:val="FF4C41"/>
          <w:spacing w:val="8"/>
        </w:rPr>
        <w:t>促进</w:t>
      </w:r>
      <w:r>
        <w:rPr>
          <w:rStyle w:val="richmediacontentany"/>
          <w:rFonts w:ascii="Microsoft YaHei UI" w:eastAsia="Microsoft YaHei UI" w:hAnsi="Microsoft YaHei UI" w:cs="Microsoft YaHei UI"/>
          <w:color w:val="333333"/>
          <w:spacing w:val="8"/>
        </w:rPr>
        <w:t>”两个词，其指明的，就是保持香港长期繁荣稳定的环境条件更加完备，</w:t>
      </w:r>
      <w:r>
        <w:rPr>
          <w:rStyle w:val="richmediacontentany"/>
          <w:rFonts w:ascii="Microsoft YaHei UI" w:eastAsia="Microsoft YaHei UI" w:hAnsi="Microsoft YaHei UI" w:cs="Microsoft YaHei UI"/>
          <w:b/>
          <w:bCs/>
          <w:color w:val="333333"/>
          <w:spacing w:val="8"/>
        </w:rPr>
        <w:t>香港长期繁荣稳定由此不仅是一个总体的时期的战略上的概念，还进化为一个实际的时点的可持续的状态</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这所折射的，是一种对“一国两制”、对“一国两制”香港事业前所未有的战略自信和道路自信。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管治的“三层递进”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关于管治香港，从党的十九大报告到二十大报告，有“三层递进”。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1.十九大前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十九大报告指出，“</w:t>
      </w:r>
      <w:r>
        <w:rPr>
          <w:rStyle w:val="richmediacontentany"/>
          <w:rFonts w:ascii="Microsoft YaHei UI" w:eastAsia="Microsoft YaHei UI" w:hAnsi="Microsoft YaHei UI" w:cs="Microsoft YaHei UI"/>
          <w:b/>
          <w:bCs/>
          <w:color w:val="888888"/>
          <w:spacing w:val="8"/>
        </w:rPr>
        <w:t>全面准确贯彻‘一国两制’方针，牢牢掌握宪法和基本法赋予的中央对香港、澳门全面管治权</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这一阶段，所凸显的是中央履行对港全面管治权的法律层面和总体状态。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2.二十大前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二十大报告指出：1.“</w:t>
      </w:r>
      <w:r>
        <w:rPr>
          <w:rStyle w:val="richmediacontentany"/>
          <w:rFonts w:ascii="Microsoft YaHei UI" w:eastAsia="Microsoft YaHei UI" w:hAnsi="Microsoft YaHei UI" w:cs="Microsoft YaHei UI"/>
          <w:b/>
          <w:bCs/>
          <w:color w:val="888888"/>
          <w:spacing w:val="8"/>
        </w:rPr>
        <w:t>依照宪法和基本法有效实施对特别行政区的全面管治权，落实‘爱国者治港’原则</w:t>
      </w:r>
      <w:r>
        <w:rPr>
          <w:rStyle w:val="richmediacontentany"/>
          <w:rFonts w:ascii="Microsoft YaHei UI" w:eastAsia="Microsoft YaHei UI" w:hAnsi="Microsoft YaHei UI" w:cs="Microsoft YaHei UI"/>
          <w:color w:val="333333"/>
          <w:spacing w:val="8"/>
        </w:rPr>
        <w:t>”；2.“</w:t>
      </w:r>
      <w:r>
        <w:rPr>
          <w:rStyle w:val="richmediacontentany"/>
          <w:rFonts w:ascii="Microsoft YaHei UI" w:eastAsia="Microsoft YaHei UI" w:hAnsi="Microsoft YaHei UI" w:cs="Microsoft YaHei UI"/>
          <w:b/>
          <w:bCs/>
          <w:color w:val="888888"/>
          <w:spacing w:val="8"/>
        </w:rPr>
        <w:t>全面准确推进‘一国两制’实践，坚持‘一国两制’、‘港人治港’、高度自治的方针</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这一阶段，所体现的是中央履行对港全面管治权的实践层面和具体形态。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3.二十大后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对此，二十大报告指出：1.</w:t>
      </w:r>
      <w:r>
        <w:rPr>
          <w:rStyle w:val="richmediacontentany"/>
          <w:rFonts w:ascii="Microsoft YaHei UI" w:eastAsia="Microsoft YaHei UI" w:hAnsi="Microsoft YaHei UI" w:cs="Microsoft YaHei UI"/>
          <w:b/>
          <w:bCs/>
          <w:color w:val="888888"/>
          <w:spacing w:val="8"/>
        </w:rPr>
        <w:t>全面准确、坚定不移贯彻“一国两制”，维护特区宪制秩序”</w:t>
      </w:r>
      <w:r>
        <w:rPr>
          <w:rStyle w:val="richmediacontentany"/>
          <w:rFonts w:ascii="Microsoft YaHei UI" w:eastAsia="Microsoft YaHei UI" w:hAnsi="Microsoft YaHei UI" w:cs="Microsoft YaHei UI"/>
          <w:color w:val="333333"/>
          <w:spacing w:val="8"/>
        </w:rPr>
        <w:t>；2.推进“三个落实”——</w:t>
      </w:r>
      <w:r>
        <w:rPr>
          <w:rStyle w:val="richmediacontentany"/>
          <w:rFonts w:ascii="Microsoft YaHei UI" w:eastAsia="Microsoft YaHei UI" w:hAnsi="Microsoft YaHei UI" w:cs="Microsoft YaHei UI"/>
          <w:b/>
          <w:bCs/>
          <w:color w:val="888888"/>
          <w:spacing w:val="8"/>
        </w:rPr>
        <w:t>落实中央全面管治权、落实“爱国者治港”原则、落实特区维护国家安全的法律制度和执行机制</w:t>
      </w:r>
      <w:r>
        <w:rPr>
          <w:rStyle w:val="richmediacontentany"/>
          <w:rFonts w:ascii="Microsoft YaHei UI" w:eastAsia="Microsoft YaHei UI" w:hAnsi="Microsoft YaHei UI" w:cs="Microsoft YaHei UI"/>
          <w:color w:val="333333"/>
          <w:spacing w:val="8"/>
        </w:rPr>
        <w:t>；3.</w:t>
      </w:r>
      <w:r>
        <w:rPr>
          <w:rStyle w:val="richmediacontentany"/>
          <w:rFonts w:ascii="Microsoft YaHei UI" w:eastAsia="Microsoft YaHei UI" w:hAnsi="Microsoft YaHei UI" w:cs="Microsoft YaHei UI"/>
          <w:b/>
          <w:bCs/>
          <w:color w:val="888888"/>
          <w:spacing w:val="8"/>
        </w:rPr>
        <w:t>坚持行政主导，支持特区提升治理能力和管治水平，完善特区司法制度和法律体系</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这一阶段，所昭示的是中央履行对港全面管治权将有的不断巩固、全面深化和系统性增强，以及制度化实践的新常态。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可以看出，相比十九大的相关论述，二十大报告在中央对港履行全面管治权上，战略定位上更主动，机制安排上更多元，行动部署上更周密、更频密。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十大报告强调“落实”，注重“效度”，着力实现“长效”，亦致力达成中央和特区两个层面管治香港理念、方法、行动的完全统一。这将从根本上铲除管治香港的“模糊性地带”，杜绝特区方面对中央履行全面管治权和行政主导可能的“拉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香港今后的政治运作体系和特区治理模式已经无比清晰。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实践的“四大任务”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关于“一国两制”和涉港的内容，二十大报告的“</w:t>
      </w:r>
      <w:r>
        <w:rPr>
          <w:rStyle w:val="richmediacontentany"/>
          <w:rFonts w:ascii="Microsoft YaHei UI" w:eastAsia="Microsoft YaHei UI" w:hAnsi="Microsoft YaHei UI" w:cs="Microsoft YaHei UI"/>
          <w:b/>
          <w:bCs/>
          <w:color w:val="333333"/>
          <w:spacing w:val="8"/>
        </w:rPr>
        <w:t>四个关键词</w:t>
      </w:r>
      <w:r>
        <w:rPr>
          <w:rStyle w:val="richmediacontentany"/>
          <w:rFonts w:ascii="Microsoft YaHei UI" w:eastAsia="Microsoft YaHei UI" w:hAnsi="Microsoft YaHei UI" w:cs="Microsoft YaHei UI"/>
          <w:color w:val="333333"/>
          <w:spacing w:val="8"/>
        </w:rPr>
        <w:t>”，指明了“一国两制”香港实践的“四大任务”。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w:t>
      </w:r>
      <w:r>
        <w:rPr>
          <w:rStyle w:val="richmediacontentany"/>
          <w:rFonts w:ascii="Microsoft YaHei UI" w:eastAsia="Microsoft YaHei UI" w:hAnsi="Microsoft YaHei UI" w:cs="Microsoft YaHei UI"/>
          <w:b/>
          <w:bCs/>
          <w:color w:val="0052FF"/>
          <w:spacing w:val="8"/>
        </w:rPr>
        <w:t>坚持</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color w:val="333333"/>
          <w:spacing w:val="8"/>
        </w:rPr>
        <w:t>（6处）</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——“一国两制”必须长期坚持；</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——坚持依法治港；</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——坚持“一国两制”制度体系；</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——坚持中央全面管治权和保障特区高度自治权相统一；</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——坚持行动主导；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——保持香港资本主义制度和生活方式长期不变。</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“坚持”所体现的，是治港的总方针和基本逻辑、“一国两制”和香港最底层和最主要的确定性，是所有管治香港举措的起点和基准。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把握住这些“坚持”，就把握了“一国两制”香港事业正确的发展方向，就能确保“一国两制”香港实践始终在正确轨道上。把握住这些“坚持”，也就能把握住香港的核心课题，洞悉香港不变的未来。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w:t>
      </w:r>
      <w:r>
        <w:rPr>
          <w:rStyle w:val="richmediacontentany"/>
          <w:rFonts w:ascii="Microsoft YaHei UI" w:eastAsia="Microsoft YaHei UI" w:hAnsi="Microsoft YaHei UI" w:cs="Microsoft YaHei UI"/>
          <w:b/>
          <w:bCs/>
          <w:color w:val="0052FF"/>
          <w:spacing w:val="8"/>
        </w:rPr>
        <w:t>完善</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color w:val="333333"/>
          <w:spacing w:val="8"/>
        </w:rPr>
        <w:t>（2处）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——完善“一国两制”制度体系；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——支持特区完善特区司法制度和法律体系。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“完善”所体现的，是治港的战略思考和战略规划，是今后一段时期内要研究要破解的重大管治课题、要推进要完成的重大管治动作。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于此方面，</w:t>
      </w:r>
      <w:r>
        <w:rPr>
          <w:rStyle w:val="richmediacontentany"/>
          <w:rFonts w:ascii="Microsoft YaHei UI" w:eastAsia="Microsoft YaHei UI" w:hAnsi="Microsoft YaHei UI" w:cs="Microsoft YaHei UI"/>
          <w:b/>
          <w:bCs/>
          <w:color w:val="333333"/>
          <w:spacing w:val="8"/>
        </w:rPr>
        <w:t>二十大报告从中央和特区两个层面分别明确任务，体现了对治港工作体系的整体性布局、一体化推进、全方位提升。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2020年，全国人大在作出建立健全特区维护国家安全的法律制度和执行机制的决定时，笔者就有分析，相关管治动作不限于制定颁布相关国安法，会陆续有之。此后于2021年完成的完善特区选举制度，以及将来要颁布的其他举措、推动特区完善司法制度和法律体系等，都是这种“完善”的表现和继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在完善中发展，在实践中进步，“完善‘一国两制’制度体系”也将是一种常态。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w:t>
      </w:r>
      <w:r>
        <w:rPr>
          <w:rStyle w:val="richmediacontentany"/>
          <w:rFonts w:ascii="Microsoft YaHei UI" w:eastAsia="Microsoft YaHei UI" w:hAnsi="Microsoft YaHei UI" w:cs="Microsoft YaHei UI"/>
          <w:b/>
          <w:bCs/>
          <w:color w:val="0052FF"/>
          <w:spacing w:val="8"/>
        </w:rPr>
        <w:t>落实</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color w:val="333333"/>
          <w:spacing w:val="8"/>
        </w:rPr>
        <w:t>（3处）</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——落实中央全面管治权；</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——落实“爱国者治港”原则；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——落实特区维护国家安全的法律制度和执行机制。</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“落实”所体现的，是治港的具体实践要求和行动部署，是要求坚定既有决策部署意志、巩固既有制度安排成果，保证治港工作有信度、具力度、出效度。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“落实”还传递出一种信号，即治港工作将保持的稳定性、制度安排将保持的长期性。譬如对完善后的特区选举制度，中央就已明确“必须长期坚持”。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4.“</w:t>
      </w:r>
      <w:r>
        <w:rPr>
          <w:rStyle w:val="richmediacontentany"/>
          <w:rFonts w:ascii="Microsoft YaHei UI" w:eastAsia="Microsoft YaHei UI" w:hAnsi="Microsoft YaHei UI" w:cs="Microsoft YaHei UI"/>
          <w:b/>
          <w:bCs/>
          <w:color w:val="0052FF"/>
          <w:spacing w:val="8"/>
        </w:rPr>
        <w:t>支持</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color w:val="333333"/>
          <w:spacing w:val="8"/>
        </w:rPr>
        <w:t>（7处）</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——支持行政长官和特区政府依法施政；</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——（支持）提升全面治理能力和管治水平；</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——（支持）完善特区司法制度和法律体系；</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——支持香港发展经济、改善民生、破解经济社会发展中的深层次矛盾和问题；</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——（支持）发挥香港优势和特点；</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——支持香港更好融入国家发展大局；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——（支持）发展壮大爱国爱港力量。</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“支持”所体现的，是中央对治港工作香港层面的重视和关怀，是中央秉持的管治理念和努力，也是对香港方面的期望和要求。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二十大报告提出的这些“支持”，涵盖香港政治、经济、民生、社会各方面，都有具体内容作指引和支撑。这些“支持”，就足以形成特区本地管治和施政的基本理念、主要方向和工作重点。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方向要明、定位要准、基础要实，政治要强、经济要好、社会要稳，从二十大报告看，中央对香港提供了既全面又精准的“支持”，也给特区列出了目标任务和工作清单。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所应“坚持”的不动摇，所应“完善”的不止步，所应“落实”的不懈怠，所应“支持”的不惜力——二十大报告提出的这“四大任务”</w:t>
      </w:r>
      <w:r>
        <w:rPr>
          <w:rStyle w:val="richmediacontentany"/>
          <w:rFonts w:ascii="Microsoft YaHei UI" w:eastAsia="Microsoft YaHei UI" w:hAnsi="Microsoft YaHei UI" w:cs="Microsoft YaHei UI"/>
          <w:b/>
          <w:bCs/>
          <w:color w:val="888888"/>
          <w:spacing w:val="8"/>
          <w:sz w:val="23"/>
          <w:szCs w:val="23"/>
        </w:rPr>
        <w:t>（包括十八个要点）</w:t>
      </w:r>
      <w:r>
        <w:rPr>
          <w:rStyle w:val="richmediacontentany"/>
          <w:rFonts w:ascii="Microsoft YaHei UI" w:eastAsia="Microsoft YaHei UI" w:hAnsi="Microsoft YaHei UI" w:cs="Microsoft YaHei UI"/>
          <w:b/>
          <w:bCs/>
          <w:color w:val="333333"/>
          <w:spacing w:val="8"/>
        </w:rPr>
        <w:t>，已经勾勒出了今后一个阶段内管治香港的基本形态和整体面貌。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对比十九大报告，深入学习二十大报告，中央管治香港的历史逻辑、生动现实和未来图景清晰起来。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在二十大报告中，还有一个很重大的表述上的调整，体现了中央管治香港的思路之变。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在展望和论述新的使命任务部分，关于“一国两制”，十八大是“丰富‘一国两制’实践”，十九大报告是“坚持‘一国两制’”，</w:t>
      </w:r>
      <w:r>
        <w:rPr>
          <w:rStyle w:val="richmediacontentany"/>
          <w:rFonts w:ascii="Microsoft YaHei UI" w:eastAsia="Microsoft YaHei UI" w:hAnsi="Microsoft YaHei UI" w:cs="Microsoft YaHei UI"/>
          <w:b/>
          <w:bCs/>
          <w:color w:val="333333"/>
          <w:spacing w:val="8"/>
        </w:rPr>
        <w:t>二十大报告则是“</w:t>
      </w:r>
      <w:r>
        <w:rPr>
          <w:rStyle w:val="richmediacontentany"/>
          <w:rFonts w:ascii="Microsoft YaHei UI" w:eastAsia="Microsoft YaHei UI" w:hAnsi="Microsoft YaHei UI" w:cs="Microsoft YaHei UI"/>
          <w:b/>
          <w:bCs/>
          <w:color w:val="FF4C41"/>
          <w:spacing w:val="8"/>
        </w:rPr>
        <w:t>坚持和完善‘一国两制’</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近十五年来，从十八大到二十大，“一国两制”相关论述从从实践层面回到制度层面，再从制度层面回到对制度与实践的统一，映照出“一国两制”香港事业的历史足迹、所经历的风险挑战，也呈现出“一国两制”香港实践在实践中不断成熟的进程、不断发展的趋势、不断创新的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亦坚持亦完善，亦守正亦创新，二十大报告中的这每一句话、每一个词，都在标志它重要的历史意义，标注它统筹过去、现在和未来的深刻用意。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读懂二十大报告，就看清了香港确定性的未来。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要读懂二十大报告，除了要读懂“一国两制”和涉港的相关论述，还要读懂二十大报告的主题和主体内容，通过理解体会党和国家的“最大确定性”，进一步确认香港的确定性。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一个“指导思想”、“两个确立”，一个“中心任务”、四条“必由之路”… …这是香港最大的大局，也是香港最大的趋势。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一直以来的事实就是，党和国家的确定性，决定着香港的确定性。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关于这些，今后再专题阐述。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836&amp;idx=1&amp;sn=8f81226a784ccb99e053baa9db17a783&amp;chksm=fe3bce98c94c478eb64942ffb524e7802075bb71299cb76884027f818b340a7eb4794a9c922e&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透过二十大报告，看见香港确定性的未来</dc:title>
  <cp:revision>1</cp:revision>
</cp:coreProperties>
</file>