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释放精神病患到大湾区？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2023-06-20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1）近期，香港发生多起持刀杀人事件，其中一案件因疑凶有精神病史，引发全社会对相关人群的高度关注，特区立法会亦就此问题展开讨论，希望特区政府有关部门检视相关政策资源，更好支援精神病患，避免此类恶性事件再度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2）令人费解的是，在立法会议员质询期间，某议员竟然向特区政府官员提出了如下建议：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9"/>
          <w:sz w:val="26"/>
          <w:szCs w:val="26"/>
        </w:rPr>
        <w:t>「有沒有想過在大灣區，假設有這些朋友，要找地方居住，會不會釋放他們在大灣區，找地方安置這些朋友？」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2650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56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9"/>
          <w:sz w:val="26"/>
          <w:szCs w:val="26"/>
        </w:rPr>
        <w:t>3</w:t>
      </w:r>
      <w:r>
        <w:rPr>
          <w:rStyle w:val="richmediacontentany"/>
          <w:rFonts w:ascii="SimSun" w:eastAsia="SimSun" w:hAnsi="SimSun" w:cs="SimSun"/>
          <w:color w:val="000000"/>
          <w:spacing w:val="9"/>
          <w:sz w:val="26"/>
          <w:szCs w:val="26"/>
        </w:rPr>
        <w:t>）</w:t>
      </w:r>
      <w:r>
        <w:rPr>
          <w:rStyle w:val="richmediacontentany"/>
          <w:rFonts w:ascii="Arial" w:eastAsia="Arial" w:hAnsi="Arial" w:cs="Arial"/>
          <w:color w:val="000000"/>
          <w:spacing w:val="9"/>
          <w:sz w:val="26"/>
          <w:szCs w:val="26"/>
        </w:rPr>
        <w:t> </w:t>
      </w:r>
      <w:r>
        <w:rPr>
          <w:rStyle w:val="richmediacontentany"/>
          <w:rFonts w:ascii="SimSun" w:eastAsia="SimSun" w:hAnsi="SimSun" w:cs="SimSun"/>
          <w:color w:val="000000"/>
          <w:spacing w:val="9"/>
          <w:sz w:val="26"/>
          <w:szCs w:val="26"/>
        </w:rPr>
        <w:t>更好服务精神病患，有效遏制相关恶性案件，特区各方重视也多、检讨也快，这是香港治理文明、社会文明的体现。但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9"/>
          <w:sz w:val="26"/>
          <w:szCs w:val="26"/>
        </w:rPr>
        <w:t>在立法会如此严肃的场合，议员如此草率地提出一种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9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9"/>
          <w:sz w:val="26"/>
          <w:szCs w:val="26"/>
        </w:rPr>
        <w:t>脑路近乎清奇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9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9"/>
          <w:sz w:val="26"/>
          <w:szCs w:val="26"/>
        </w:rPr>
        <w:t>的解决方案，实在让人难以赞赏。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9"/>
          <w:sz w:val="26"/>
          <w:szCs w:val="26"/>
        </w:rPr>
        <w:t>4</w:t>
      </w:r>
      <w:r>
        <w:rPr>
          <w:rStyle w:val="richmediacontentany"/>
          <w:rFonts w:ascii="SimSun" w:eastAsia="SimSun" w:hAnsi="SimSun" w:cs="SimSun"/>
          <w:color w:val="000000"/>
          <w:spacing w:val="9"/>
          <w:sz w:val="26"/>
          <w:szCs w:val="26"/>
        </w:rPr>
        <w:t>）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9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9"/>
          <w:sz w:val="26"/>
          <w:szCs w:val="26"/>
        </w:rPr>
        <w:t>释放精神病患到大湾区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9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9"/>
          <w:sz w:val="26"/>
          <w:szCs w:val="26"/>
        </w:rPr>
        <w:t>，此建议问题多矣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9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14"/>
        </w:rPr>
        <w:t>5</w:t>
      </w:r>
      <w:r>
        <w:rPr>
          <w:rStyle w:val="richmediacontentany"/>
          <w:rFonts w:ascii="SimSun" w:eastAsia="SimSun" w:hAnsi="SimSun" w:cs="SimSun"/>
          <w:color w:val="000000"/>
          <w:spacing w:val="14"/>
        </w:rPr>
        <w:t>）首先，香港和大湾区的关系，不是并列关系，更不是替代关系。习惯性将香港与大湾区对等看待，实际上是认识上有意区隔二者的表现，正是香港社会一直以来的一个迷思。也正是因为这一迷思，让香港一些人看不到大湾区发展与香港发展的统一、大湾区利益与香港利益的一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000"/>
          <w:spacing w:val="14"/>
        </w:rPr>
        <w:t>表面上，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14"/>
        </w:rPr>
        <w:t>议员将解决香港精神病患问题放眼大湾区思考，似乎站位更大格局，但给人一种很奇怪的感觉，好像是急于将一个自以为棘手的问题从香港剥离出来，甩给大湾区。起码，人们看到的不是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14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14"/>
        </w:rPr>
        <w:t>两利相权取其重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14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14"/>
        </w:rPr>
        <w:t>而是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14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14"/>
        </w:rPr>
        <w:t>两害相权取其轻</w:t>
      </w:r>
      <w:r>
        <w:rPr>
          <w:rStyle w:val="richmediacontentany"/>
          <w:rFonts w:ascii="Arial" w:eastAsia="Arial" w:hAnsi="Arial" w:cs="Arial"/>
          <w:b/>
          <w:bCs/>
          <w:color w:val="000000"/>
          <w:spacing w:val="14"/>
        </w:rPr>
        <w:t>”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14"/>
        </w:rPr>
        <w:t>，不是对大湾区整体利益的维护，而是算香港的小家子账。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6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）其次，大湾区的功能被错误解读。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大湾区于香港的意义，是窗口再打开、机遇再丰富、空间再拓展，是帮助香港突破发展瓶颈、巩固扩大优势。而</w:t>
      </w:r>
      <w:r>
        <w:rPr>
          <w:rStyle w:val="richmediacontentany"/>
          <w:rFonts w:ascii="SimSun" w:eastAsia="SimSun" w:hAnsi="SimSun" w:cs="SimSun"/>
          <w:b/>
          <w:bCs/>
          <w:color w:val="000000"/>
          <w:spacing w:val="8"/>
          <w:sz w:val="26"/>
          <w:szCs w:val="26"/>
        </w:rPr>
        <w:t>建设粤港澳大湾区作为国家重大发展战略，追求的是高质量发展，发挥它的引擎和引领作用，不是致力打造两地社会的基础保障功能。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在《</w:t>
      </w:r>
      <w:hyperlink r:id="rId7" w:anchor="wechat_redirect" w:tgtFrame="_blank" w:history="1">
        <w:r>
          <w:rPr>
            <w:rStyle w:val="richmediacontentany"/>
            <w:rFonts w:ascii="SimSun" w:eastAsia="SimSun" w:hAnsi="SimSun" w:cs="SimSun"/>
            <w:color w:val="576B95"/>
            <w:spacing w:val="8"/>
            <w:sz w:val="26"/>
            <w:szCs w:val="26"/>
          </w:rPr>
          <w:t>香港不在</w:t>
        </w:r>
        <w:r>
          <w:rPr>
            <w:rStyle w:val="richmediacontentany"/>
            <w:rFonts w:ascii="Arial" w:eastAsia="Arial" w:hAnsi="Arial" w:cs="Arial"/>
            <w:color w:val="576B95"/>
            <w:spacing w:val="8"/>
            <w:sz w:val="26"/>
            <w:szCs w:val="26"/>
          </w:rPr>
          <w:t>“</w:t>
        </w:r>
        <w:r>
          <w:rPr>
            <w:rStyle w:val="richmediacontentany"/>
            <w:rFonts w:ascii="SimSun" w:eastAsia="SimSun" w:hAnsi="SimSun" w:cs="SimSun"/>
            <w:color w:val="576B95"/>
            <w:spacing w:val="8"/>
            <w:sz w:val="26"/>
            <w:szCs w:val="26"/>
          </w:rPr>
          <w:t>大湾区</w:t>
        </w:r>
        <w:r>
          <w:rPr>
            <w:rStyle w:val="richmediacontentany"/>
            <w:rFonts w:ascii="Arial" w:eastAsia="Arial" w:hAnsi="Arial" w:cs="Arial"/>
            <w:color w:val="576B95"/>
            <w:spacing w:val="8"/>
            <w:sz w:val="26"/>
            <w:szCs w:val="26"/>
          </w:rPr>
          <w:t>”</w:t>
        </w:r>
      </w:hyperlink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》一文中，靖海侯就指出：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香港社会及香港青年要明白的是，大湾区需要的是人才而不是人口，要做的是包容而不是收容，到大湾区发展，绝不是下乡。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8"/>
          <w:sz w:val="26"/>
          <w:szCs w:val="26"/>
        </w:rPr>
        <w:t>或者说，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大湾区绝不应该被视为矛盾堆填区、问题收容站，被视为可以无限转移各种困难的救济所。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7）第三，香港社会更应有的认识是，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中央全力支持香港破解民生忧难，但主体责任在行政长官和特区政府，主要空间在特区之内，住房、教育、医疗等民生事务终究还是特区自己的事。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香港由乱到治后，李家超和新一届特区政府有担当、有作为，开始主动扛起责任，但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香港社会甚至管治团体里，仍有一些人有“巨婴思维”，什么事都想着靠中央来推动、靠国家来解决，遇到点困难就想着争取特殊待遇、寻求外部解决，这种思维要不得。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8）香港发生精神病患导致的恶性凶杀案件，是不能再有的悲剧。议员关心精神病患者，为他们的治疗和生活想办法，是值得赞赏的。而且，该议员对大湾区发展也非常热心，经常呼吁特区政府和香港业界把握大湾区发展的各种机遇，积极投身其中。对他的努力，人们也应该肯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议员参政议政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需要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更谨慎些，意识到个人公开言论可能造成的负面影响。精神病患是特殊的，但也是香港市民。对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这些人，我们不能视为社会的包袱。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因为有精神问题，他们恰恰需要有更多身边亲人和好友的日常关心。把他们“释放到大湾区”，绝不是高明之策。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9）此前香港要在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深边境建“超级殡葬场”所引发的巨大争议，香港社会应该还记得。内地同胞所以关注，既是为香港把握发展机遇着急，也是希望得到一份尊重。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香港在讨论更好安置服务精神病患问题上，也应该有这个意识，尊重这些精神病患者，也正视大湾区的发展定位，尊重大湾区同胞的感受。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56&amp;idx=1&amp;sn=1c1b5b8f7e08d0899dba76b964d554cb&amp;chksm=6e22d7dc15af999469d54d7519b298b58901f73e91cc32dd03bff4f6b7122a5be9db1ee0e5a9&amp;scene=27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://mp.weixin.qq.com/s?__biz=MzU5MDY4MzczMQ==&amp;mid=2247484892&amp;idx=1&amp;sn=9a9711299af648c69d65974883282ae1&amp;chksm=fe3bcee0c94c47f6e036fb3a01753b4834051185e8b57748d163a8ae543b5cb6dc6b271f9a03&amp;scene=21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释放精神病患到大湾区？</dc:title>
  <cp:revision>1</cp:revision>
</cp:coreProperties>
</file>