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全媒全屏全域联动 SMG强化数字化营销布局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2021-12-06</w:t>
      </w:r>
      <w:hyperlink r:id="rId5" w:anchor="wechat_redirect&amp;cpage=5" w:tgtFrame="_blank" w:history="1">
        <w:r>
          <w:rPr>
            <w:rStyle w:val="a"/>
            <w:rFonts w:ascii="Microsoft YaHei UI" w:eastAsia="Microsoft YaHei UI" w:hAnsi="Microsoft YaHei UI" w:cs="Microsoft YaHei UI"/>
            <w:spacing w:val="8"/>
            <w:sz w:val="23"/>
            <w:szCs w:val="23"/>
          </w:rPr>
          <w:t>原文</w:t>
        </w:r>
      </w:hyperlink>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收录于话题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2022 SMG合作大会MV</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为更直接、更快速、更精准的向各界客户和合作伙伴找到创造自身价值的不同解决方案，2022 SMG“新玩法·全触达”合作大会12月3日召开，SMG旗下各主体单位通过自身不同的全媒体传播渠道，策划发布多元数字化营销产品，全方位展示SMG全媒体传播的影响力，打造SMG全新商业价值。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505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07560" name=""/>
                    <pic:cNvPicPr>
                      <a:picLocks noChangeAspect="1"/>
                    </pic:cNvPicPr>
                  </pic:nvPicPr>
                  <pic:blipFill>
                    <a:blip xmlns:r="http://schemas.openxmlformats.org/officeDocument/2006/relationships" r:embed="rId6"/>
                    <a:stretch>
                      <a:fillRect/>
                    </a:stretch>
                  </pic:blipFill>
                  <pic:spPr>
                    <a:xfrm>
                      <a:off x="0" y="0"/>
                      <a:ext cx="5486400" cy="35052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上海广播电视台、上海文化广播影视集团有限公司党委书记、董事长王建军与上海广播电视台台长、上海文化广播影视集团有限公司总裁宋炯明共同启动了2022 SMG多元数字营销产品发布仪式。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57632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09979" name=""/>
                    <pic:cNvPicPr>
                      <a:picLocks noChangeAspect="1"/>
                    </pic:cNvPicPr>
                  </pic:nvPicPr>
                  <pic:blipFill>
                    <a:blip xmlns:r="http://schemas.openxmlformats.org/officeDocument/2006/relationships" r:embed="rId7"/>
                    <a:stretch>
                      <a:fillRect/>
                    </a:stretch>
                  </pic:blipFill>
                  <pic:spPr>
                    <a:xfrm>
                      <a:off x="0" y="0"/>
                      <a:ext cx="5486400" cy="3576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SMG旗下15家主体单位，一口气发布了包括内容电商、社群运营、虚拟主播、数据营销等营销方向的27款多元数字营销产品，充分展示了SMG在媒体融合向进一步深度掘进的市场环境下数字化营销的明显优势：</w:t>
      </w:r>
      <w:r>
        <w:rPr>
          <w:rStyle w:val="richmediacontentany"/>
          <w:rFonts w:ascii="-apple-system" w:eastAsia="-apple-system" w:hAnsi="-apple-system" w:cs="-apple-system"/>
          <w:color w:val="333333"/>
          <w:spacing w:val="8"/>
        </w:rPr>
        <w:t>全渠道传播、多场景应用、为企业升级赋能、品效一体化、为品牌提供全周期多元化数字增长服务等。</w:t>
      </w:r>
      <w:r>
        <w:rPr>
          <w:rStyle w:val="richmediacontentany"/>
          <w:rFonts w:ascii="-apple-system" w:eastAsia="-apple-system" w:hAnsi="-apple-system" w:cs="-apple-system"/>
          <w:color w:val="333333"/>
          <w:spacing w:val="8"/>
        </w:rPr>
        <w:t>与传统营销方式相比，SMG全力启动的数字化营销的广度、深度和精准度更能体现合作伙伴的个性化需求，无疑是最有效和最经济的营销方式之一。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76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51961" name=""/>
                    <pic:cNvPicPr>
                      <a:picLocks noChangeAspect="1"/>
                    </pic:cNvPicPr>
                  </pic:nvPicPr>
                  <pic:blipFill>
                    <a:blip xmlns:r="http://schemas.openxmlformats.org/officeDocument/2006/relationships" r:embed="rId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大会上，宋炯明结合近几年来SMG媒体融合发展的实践和思考，充满激情地发表了题为《从“媒体融合”走向“构建全媒体生态”》的主旨演讲，为SMG媒体融合发展愿景和“新玩法·全触达”数字化营销点起了一把火，在台上台下激发广泛共鸣。宋炯明表示，SMG近年来的转型发展如果用一句话来描述，就是从“媒体融合”走向“构建全媒体生态”。全集团上下经过多轮论证，形成高度统一认识：实施全媒体发展战略，以打造 BesTV+视频平台产品为SMG媒体融合向纵深发展的核心任务，推进包括着力打造全媒体技术创新中心、全媒体用户数据中心、全媒体运营管理后台、全媒体资本运营体系、智慧媒体文化产业聚集区、媒体深度融合发展体制改革实践样本、全媒体生产和运营队伍在内的八大支撑工程建设，实现全媒体生态能级全面提升，继续当好全国省级广电媒体融合发展的排头兵，努力使互联网这个最大变量变成事业发展的最大增量。</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50999" name=""/>
                    <pic:cNvPicPr>
                      <a:picLocks noChangeAspect="1"/>
                    </pic:cNvPicPr>
                  </pic:nvPicPr>
                  <pic:blipFill>
                    <a:blip xmlns:r="http://schemas.openxmlformats.org/officeDocument/2006/relationships" r:embed="rId9"/>
                    <a:stretch>
                      <a:fillRect/>
                    </a:stretch>
                  </pic:blipFill>
                  <pic:spPr>
                    <a:xfrm>
                      <a:off x="0" y="0"/>
                      <a:ext cx="5486400" cy="3657600"/>
                    </a:xfrm>
                    <a:prstGeom prst="rect">
                      <a:avLst/>
                    </a:prstGeom>
                  </pic:spPr>
                </pic:pic>
              </a:graphicData>
            </a:graphic>
          </wp:inline>
        </w:drawing>
      </w: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80271" name=""/>
                    <pic:cNvPicPr>
                      <a:picLocks noChangeAspect="1"/>
                    </pic:cNvPicPr>
                  </pic:nvPicPr>
                  <pic:blipFill>
                    <a:blip xmlns:r="http://schemas.openxmlformats.org/officeDocument/2006/relationships" r:embed="rId10"/>
                    <a:stretch>
                      <a:fillRect/>
                    </a:stretch>
                  </pic:blipFill>
                  <pic:spPr>
                    <a:xfrm>
                      <a:off x="0" y="0"/>
                      <a:ext cx="5486400" cy="3657600"/>
                    </a:xfrm>
                    <a:prstGeom prst="rect">
                      <a:avLst/>
                    </a:prstGeom>
                  </pic:spPr>
                </pic:pic>
              </a:graphicData>
            </a:graphic>
          </wp:inline>
        </w:drawing>
      </w:r>
    </w:p>
    <w:p>
      <w:pPr>
        <w:shd w:val="clear" w:color="auto" w:fill="3793FD"/>
        <w:spacing w:before="0" w:after="0" w:line="408" w:lineRule="atLeast"/>
        <w:ind w:left="240" w:right="240"/>
        <w:jc w:val="center"/>
        <w:rPr>
          <w:rFonts w:ascii="Arial" w:eastAsia="Arial" w:hAnsi="Arial" w:cs="Arial"/>
          <w:color w:val="333333"/>
          <w:spacing w:val="8"/>
          <w:sz w:val="26"/>
          <w:szCs w:val="26"/>
        </w:rPr>
      </w:pPr>
    </w:p>
    <w:p>
      <w:pPr>
        <w:shd w:val="clear" w:color="auto" w:fill="2FD0FE"/>
        <w:spacing w:before="45" w:after="0" w:line="408" w:lineRule="atLeast"/>
        <w:ind w:left="150" w:right="240"/>
        <w:jc w:val="center"/>
        <w:rPr>
          <w:rFonts w:ascii="Arial" w:eastAsia="Arial" w:hAnsi="Arial" w:cs="Arial"/>
          <w:color w:val="333333"/>
          <w:spacing w:val="8"/>
          <w:sz w:val="26"/>
          <w:szCs w:val="26"/>
        </w:rPr>
      </w:pP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57632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7732" name=""/>
                    <pic:cNvPicPr>
                      <a:picLocks noChangeAspect="1"/>
                    </pic:cNvPicPr>
                  </pic:nvPicPr>
                  <pic:blipFill>
                    <a:blip xmlns:r="http://schemas.openxmlformats.org/officeDocument/2006/relationships" r:embed="rId11"/>
                    <a:stretch>
                      <a:fillRect/>
                    </a:stretch>
                  </pic:blipFill>
                  <pic:spPr>
                    <a:xfrm>
                      <a:off x="0" y="0"/>
                      <a:ext cx="5486400" cy="3576320"/>
                    </a:xfrm>
                    <a:prstGeom prst="rect">
                      <a:avLst/>
                    </a:prstGeom>
                  </pic:spPr>
                </pic:pic>
              </a:graphicData>
            </a:graphic>
          </wp:inline>
        </w:drawing>
      </w: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61939" name=""/>
                    <pic:cNvPicPr>
                      <a:picLocks noChangeAspect="1"/>
                    </pic:cNvPicPr>
                  </pic:nvPicPr>
                  <pic:blipFill>
                    <a:blip xmlns:r="http://schemas.openxmlformats.org/officeDocument/2006/relationships" r:embed="rId12"/>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大会以数字的形式分别打开</w:t>
      </w:r>
      <w:r>
        <w:rPr>
          <w:rStyle w:val="richmediacontentany"/>
          <w:rFonts w:ascii="-apple-system" w:eastAsia="-apple-system" w:hAnsi="-apple-system" w:cs="-apple-system"/>
          <w:b/>
          <w:bCs/>
          <w:color w:val="333333"/>
          <w:spacing w:val="8"/>
        </w:rPr>
        <w:t>影响力C位</w:t>
      </w:r>
      <w:r>
        <w:rPr>
          <w:rStyle w:val="richmediacontentany"/>
          <w:rFonts w:ascii="-apple-system" w:eastAsia="-apple-system" w:hAnsi="-apple-system" w:cs="-apple-system"/>
          <w:color w:val="333333"/>
          <w:spacing w:val="8"/>
        </w:rPr>
        <w:t>、</w:t>
      </w:r>
      <w:r>
        <w:rPr>
          <w:rStyle w:val="richmediacontentany"/>
          <w:rFonts w:ascii="-apple-system" w:eastAsia="-apple-system" w:hAnsi="-apple-system" w:cs="-apple-system"/>
          <w:b/>
          <w:bCs/>
          <w:color w:val="333333"/>
          <w:spacing w:val="8"/>
        </w:rPr>
        <w:t>潮流青春派</w:t>
      </w:r>
      <w:r>
        <w:rPr>
          <w:rStyle w:val="richmediacontentany"/>
          <w:rFonts w:ascii="-apple-system" w:eastAsia="-apple-system" w:hAnsi="-apple-system" w:cs="-apple-system"/>
          <w:color w:val="333333"/>
          <w:spacing w:val="8"/>
        </w:rPr>
        <w:t>、</w:t>
      </w:r>
      <w:r>
        <w:rPr>
          <w:rStyle w:val="richmediacontentany"/>
          <w:rFonts w:ascii="-apple-system" w:eastAsia="-apple-system" w:hAnsi="-apple-system" w:cs="-apple-system"/>
          <w:b/>
          <w:bCs/>
          <w:color w:val="333333"/>
          <w:spacing w:val="8"/>
        </w:rPr>
        <w:t>潮妈酷少年</w:t>
      </w:r>
      <w:r>
        <w:rPr>
          <w:rStyle w:val="richmediacontentany"/>
          <w:rFonts w:ascii="-apple-system" w:eastAsia="-apple-system" w:hAnsi="-apple-system" w:cs="-apple-system"/>
          <w:color w:val="333333"/>
          <w:spacing w:val="8"/>
        </w:rPr>
        <w:t>和</w:t>
      </w:r>
      <w:r>
        <w:rPr>
          <w:rStyle w:val="richmediacontentany"/>
          <w:rFonts w:ascii="-apple-system" w:eastAsia="-apple-system" w:hAnsi="-apple-system" w:cs="-apple-system"/>
          <w:b/>
          <w:bCs/>
          <w:color w:val="333333"/>
          <w:spacing w:val="8"/>
        </w:rPr>
        <w:t>超好物矩阵</w:t>
      </w:r>
      <w:r>
        <w:rPr>
          <w:rStyle w:val="richmediacontentany"/>
          <w:rFonts w:ascii="-apple-system" w:eastAsia="-apple-system" w:hAnsi="-apple-system" w:cs="-apple-system"/>
          <w:color w:val="333333"/>
          <w:spacing w:val="8"/>
        </w:rPr>
        <w:t>四大营销矩阵，用不同的表现形式展示了对广域人群及细分人群的有效触达和影响作用。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576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10201" name=""/>
                    <pic:cNvPicPr>
                      <a:picLocks noChangeAspect="1"/>
                    </pic:cNvPicPr>
                  </pic:nvPicPr>
                  <pic:blipFill>
                    <a:blip xmlns:r="http://schemas.openxmlformats.org/officeDocument/2006/relationships" r:embed="rId13"/>
                    <a:stretch>
                      <a:fillRect/>
                    </a:stretch>
                  </pic:blipFill>
                  <pic:spPr>
                    <a:xfrm>
                      <a:off x="0" y="0"/>
                      <a:ext cx="5486400" cy="3576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57632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221052" name=""/>
                    <pic:cNvPicPr>
                      <a:picLocks noChangeAspect="1"/>
                    </pic:cNvPicPr>
                  </pic:nvPicPr>
                  <pic:blipFill>
                    <a:blip xmlns:r="http://schemas.openxmlformats.org/officeDocument/2006/relationships" r:embed="rId14"/>
                    <a:stretch>
                      <a:fillRect/>
                    </a:stretch>
                  </pic:blipFill>
                  <pic:spPr>
                    <a:xfrm>
                      <a:off x="0" y="0"/>
                      <a:ext cx="5486400" cy="35763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以看看新闻Knews、第一财经APP领衔的“影响力C位”矩阵，无论从传播力、引导力，还是专业度、触达率，都牢牢占据着舆论传播C位，影响有影响力的人。数据说话：看看新闻Knews跨平台去重月活人群1.8亿，90后占比超30%；第一财经APP名列原创财经媒体第一；东方明珠服务用户超2亿。</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81765" name=""/>
                    <pic:cNvPicPr>
                      <a:picLocks noChangeAspect="1"/>
                    </pic:cNvPicPr>
                  </pic:nvPicPr>
                  <pic:blipFill>
                    <a:blip xmlns:r="http://schemas.openxmlformats.org/officeDocument/2006/relationships" r:embed="rId15"/>
                    <a:stretch>
                      <a:fillRect/>
                    </a:stretch>
                  </pic:blipFill>
                  <pic:spPr>
                    <a:xfrm>
                      <a:off x="0" y="0"/>
                      <a:ext cx="5486400" cy="3657600"/>
                    </a:xfrm>
                    <a:prstGeom prst="rect">
                      <a:avLst/>
                    </a:prstGeom>
                  </pic:spPr>
                </pic:pic>
              </a:graphicData>
            </a:graphic>
          </wp:inline>
        </w:drawing>
      </w: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96702" name=""/>
                    <pic:cNvPicPr>
                      <a:picLocks noChangeAspect="1"/>
                    </pic:cNvPicPr>
                  </pic:nvPicPr>
                  <pic:blipFill>
                    <a:blip xmlns:r="http://schemas.openxmlformats.org/officeDocument/2006/relationships" r:embed="rId16"/>
                    <a:stretch>
                      <a:fillRect/>
                    </a:stretch>
                  </pic:blipFill>
                  <pic:spPr>
                    <a:xfrm>
                      <a:off x="0" y="0"/>
                      <a:ext cx="5486400" cy="3657600"/>
                    </a:xfrm>
                    <a:prstGeom prst="rect">
                      <a:avLst/>
                    </a:prstGeom>
                  </pic:spPr>
                </pic:pic>
              </a:graphicData>
            </a:graphic>
          </wp:inline>
        </w:drawing>
      </w:r>
    </w:p>
    <w:p>
      <w:pPr>
        <w:shd w:val="clear" w:color="auto" w:fill="3793FD"/>
        <w:spacing w:before="0" w:after="0" w:line="408" w:lineRule="atLeast"/>
        <w:ind w:left="240" w:right="240"/>
        <w:jc w:val="center"/>
        <w:rPr>
          <w:rFonts w:ascii="Arial" w:eastAsia="Arial" w:hAnsi="Arial" w:cs="Arial"/>
          <w:color w:val="333333"/>
          <w:spacing w:val="8"/>
          <w:sz w:val="26"/>
          <w:szCs w:val="26"/>
        </w:rPr>
      </w:pPr>
    </w:p>
    <w:p>
      <w:pPr>
        <w:shd w:val="clear" w:color="auto" w:fill="2FD0FE"/>
        <w:spacing w:before="45" w:after="0" w:line="408" w:lineRule="atLeast"/>
        <w:ind w:left="150" w:right="240"/>
        <w:jc w:val="center"/>
        <w:rPr>
          <w:rFonts w:ascii="Arial" w:eastAsia="Arial" w:hAnsi="Arial" w:cs="Arial"/>
          <w:color w:val="333333"/>
          <w:spacing w:val="8"/>
          <w:sz w:val="26"/>
          <w:szCs w:val="26"/>
        </w:rPr>
      </w:pP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57632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30715" name=""/>
                    <pic:cNvPicPr>
                      <a:picLocks noChangeAspect="1"/>
                    </pic:cNvPicPr>
                  </pic:nvPicPr>
                  <pic:blipFill>
                    <a:blip xmlns:r="http://schemas.openxmlformats.org/officeDocument/2006/relationships" r:embed="rId17"/>
                    <a:stretch>
                      <a:fillRect/>
                    </a:stretch>
                  </pic:blipFill>
                  <pic:spPr>
                    <a:xfrm>
                      <a:off x="0" y="0"/>
                      <a:ext cx="5486400" cy="3576320"/>
                    </a:xfrm>
                    <a:prstGeom prst="rect">
                      <a:avLst/>
                    </a:prstGeom>
                  </pic:spPr>
                </pic:pic>
              </a:graphicData>
            </a:graphic>
          </wp:inline>
        </w:drawing>
      </w: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90342" name=""/>
                    <pic:cNvPicPr>
                      <a:picLocks noChangeAspect="1"/>
                    </pic:cNvPicPr>
                  </pic:nvPicPr>
                  <pic:blipFill>
                    <a:blip xmlns:r="http://schemas.openxmlformats.org/officeDocument/2006/relationships" r:embed="rId18"/>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以百视TV联接青春活力人群，成为SMG打开年轻人潮流生活的全新入口。</w:t>
      </w:r>
      <w:r>
        <w:rPr>
          <w:rStyle w:val="richmediacontentany"/>
          <w:rFonts w:ascii="-apple-system" w:eastAsia="-apple-system" w:hAnsi="-apple-system" w:cs="-apple-system"/>
          <w:color w:val="333333"/>
          <w:spacing w:val="8"/>
        </w:rPr>
        <w:t>由东方卫视、上海人民广播电台、演艺集团和五星体育组成的“潮流青春派”矩阵，激情洋溢，活力四射。</w:t>
      </w:r>
      <w:r>
        <w:rPr>
          <w:rStyle w:val="richmediacontentany"/>
          <w:rFonts w:ascii="-apple-system" w:eastAsia="-apple-system" w:hAnsi="-apple-system" w:cs="-apple-system"/>
          <w:color w:val="333333"/>
          <w:spacing w:val="8"/>
        </w:rPr>
        <w:t>数据也反映了这个矩阵的青春能量，东方卫视新媒体活跃人群中00后占比近20%；上海人民广播电台</w:t>
      </w:r>
      <w:r>
        <w:rPr>
          <w:rStyle w:val="richmediacontentany"/>
          <w:rFonts w:ascii="-apple-system" w:eastAsia="-apple-system" w:hAnsi="-apple-system" w:cs="-apple-system"/>
          <w:color w:val="333333"/>
          <w:spacing w:val="8"/>
        </w:rPr>
        <w:t>社群年轻人占比46.3%；</w:t>
      </w:r>
      <w:r>
        <w:rPr>
          <w:rStyle w:val="richmediacontentany"/>
          <w:rFonts w:ascii="-apple-system" w:eastAsia="-apple-system" w:hAnsi="-apple-system" w:cs="-apple-system"/>
          <w:color w:val="333333"/>
          <w:spacing w:val="8"/>
        </w:rPr>
        <w:t>五星体育新媒体年轻粉丝更是高达75%；</w:t>
      </w:r>
      <w:r>
        <w:rPr>
          <w:rStyle w:val="richmediacontentany"/>
          <w:rFonts w:ascii="-apple-system" w:eastAsia="-apple-system" w:hAnsi="-apple-system" w:cs="-apple-system"/>
          <w:color w:val="333333"/>
          <w:spacing w:val="8"/>
        </w:rPr>
        <w:t>沉浸式戏剧《不眠之夜》是演艺集团经典之作，热衷粉丝最高刷剧记录达到500刷。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76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7844" name=""/>
                    <pic:cNvPicPr>
                      <a:picLocks noChangeAspect="1"/>
                    </pic:cNvPicPr>
                  </pic:nvPicPr>
                  <pic:blipFill>
                    <a:blip xmlns:r="http://schemas.openxmlformats.org/officeDocument/2006/relationships" r:embed="rId19"/>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657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2750" name=""/>
                    <pic:cNvPicPr>
                      <a:picLocks noChangeAspect="1"/>
                    </pic:cNvPicPr>
                  </pic:nvPicPr>
                  <pic:blipFill>
                    <a:blip xmlns:r="http://schemas.openxmlformats.org/officeDocument/2006/relationships" r:embed="rId20"/>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以小荧星集团、幻维数码和影视剧中心组成的“潮妈酷少年”矩阵，不仅是幼儿教育启蒙的阵地，更是年轻潮妈的聚集地。小荧星集团微信群有70%年轻潮妈；东方影视新媒体粉丝中女性占70%；幻维数码《麦杰克小镇》全网触达6000万粉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68418" name=""/>
                    <pic:cNvPicPr>
                      <a:picLocks noChangeAspect="1"/>
                    </pic:cNvPicPr>
                  </pic:nvPicPr>
                  <pic:blipFill>
                    <a:blip xmlns:r="http://schemas.openxmlformats.org/officeDocument/2006/relationships" r:embed="rId21"/>
                    <a:stretch>
                      <a:fillRect/>
                    </a:stretch>
                  </pic:blipFill>
                  <pic:spPr>
                    <a:xfrm>
                      <a:off x="0" y="0"/>
                      <a:ext cx="5486400" cy="3657600"/>
                    </a:xfrm>
                    <a:prstGeom prst="rect">
                      <a:avLst/>
                    </a:prstGeom>
                  </pic:spPr>
                </pic:pic>
              </a:graphicData>
            </a:graphic>
          </wp:inline>
        </w:drawing>
      </w: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57632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11554" name=""/>
                    <pic:cNvPicPr>
                      <a:picLocks noChangeAspect="1"/>
                    </pic:cNvPicPr>
                  </pic:nvPicPr>
                  <pic:blipFill>
                    <a:blip xmlns:r="http://schemas.openxmlformats.org/officeDocument/2006/relationships" r:embed="rId22"/>
                    <a:stretch>
                      <a:fillRect/>
                    </a:stretch>
                  </pic:blipFill>
                  <pic:spPr>
                    <a:xfrm>
                      <a:off x="0" y="0"/>
                      <a:ext cx="5486400" cy="3576320"/>
                    </a:xfrm>
                    <a:prstGeom prst="rect">
                      <a:avLst/>
                    </a:prstGeom>
                  </pic:spPr>
                </pic:pic>
              </a:graphicData>
            </a:graphic>
          </wp:inline>
        </w:drawing>
      </w:r>
    </w:p>
    <w:p>
      <w:pPr>
        <w:shd w:val="clear" w:color="auto" w:fill="3793FD"/>
        <w:spacing w:before="0" w:after="0" w:line="408" w:lineRule="atLeast"/>
        <w:ind w:left="240" w:right="240"/>
        <w:jc w:val="center"/>
        <w:rPr>
          <w:rFonts w:ascii="Arial" w:eastAsia="Arial" w:hAnsi="Arial" w:cs="Arial"/>
          <w:color w:val="333333"/>
          <w:spacing w:val="8"/>
          <w:sz w:val="26"/>
          <w:szCs w:val="26"/>
        </w:rPr>
      </w:pPr>
    </w:p>
    <w:p>
      <w:pPr>
        <w:shd w:val="clear" w:color="auto" w:fill="2FD0FE"/>
        <w:spacing w:before="45" w:after="0" w:line="408" w:lineRule="atLeast"/>
        <w:ind w:left="150" w:right="240"/>
        <w:jc w:val="center"/>
        <w:rPr>
          <w:rFonts w:ascii="Arial" w:eastAsia="Arial" w:hAnsi="Arial" w:cs="Arial"/>
          <w:color w:val="333333"/>
          <w:spacing w:val="8"/>
          <w:sz w:val="26"/>
          <w:szCs w:val="26"/>
        </w:rPr>
      </w:pP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4740" name=""/>
                    <pic:cNvPicPr>
                      <a:picLocks noChangeAspect="1"/>
                    </pic:cNvPicPr>
                  </pic:nvPicPr>
                  <pic:blipFill>
                    <a:blip xmlns:r="http://schemas.openxmlformats.org/officeDocument/2006/relationships" r:embed="rId23"/>
                    <a:stretch>
                      <a:fillRect/>
                    </a:stretch>
                  </pic:blipFill>
                  <pic:spPr>
                    <a:xfrm>
                      <a:off x="0" y="0"/>
                      <a:ext cx="5486400" cy="3657600"/>
                    </a:xfrm>
                    <a:prstGeom prst="rect">
                      <a:avLst/>
                    </a:prstGeom>
                  </pic:spPr>
                </pic:pic>
              </a:graphicData>
            </a:graphic>
          </wp:inline>
        </w:drawing>
      </w:r>
    </w:p>
    <w:p>
      <w:pPr>
        <w:shd w:val="clear" w:color="auto" w:fill="FFFFFF"/>
        <w:spacing w:before="0" w:after="150" w:line="408" w:lineRule="atLeast"/>
        <w:ind w:left="240" w:right="240"/>
        <w:jc w:val="center"/>
        <w:rPr>
          <w:rFonts w:ascii="Arial" w:eastAsia="Arial" w:hAnsi="Arial" w:cs="Arial"/>
          <w:color w:val="333333"/>
          <w:spacing w:val="8"/>
          <w:sz w:val="26"/>
          <w:szCs w:val="26"/>
        </w:rPr>
      </w:pPr>
      <w:r>
        <w:rPr>
          <w:rFonts w:ascii="Arial" w:eastAsia="Arial" w:hAnsi="Arial" w:cs="Arial"/>
          <w:strike w:val="0"/>
          <w:color w:val="333333"/>
          <w:spacing w:val="8"/>
          <w:sz w:val="26"/>
          <w:szCs w:val="26"/>
          <w:u w:val="none"/>
        </w:rPr>
        <w:drawing>
          <wp:inline>
            <wp:extent cx="5486400" cy="36576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752130" name=""/>
                    <pic:cNvPicPr>
                      <a:picLocks noChangeAspect="1"/>
                    </pic:cNvPicPr>
                  </pic:nvPicPr>
                  <pic:blipFill>
                    <a:blip xmlns:r="http://schemas.openxmlformats.org/officeDocument/2006/relationships" r:embed="rId24"/>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rial" w:eastAsia="Arial" w:hAnsi="Arial" w:cs="Arial"/>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由都市频道、东方购物、B+商城和一财数据组成的“超好物矩阵”，反映SMG在城市生活服务领域的营销力和引导力，都市频道大屏访问支付转化率最高可达50.79%；</w:t>
      </w:r>
      <w:r>
        <w:rPr>
          <w:rStyle w:val="richmediacontentany"/>
          <w:rFonts w:ascii="-apple-system" w:eastAsia="-apple-system" w:hAnsi="-apple-system" w:cs="-apple-system"/>
          <w:color w:val="333333"/>
          <w:spacing w:val="8"/>
        </w:rPr>
        <w:t>东方购物销售额过千万的大品牌，今年实现销售超过16亿；</w:t>
      </w:r>
      <w:r>
        <w:rPr>
          <w:rStyle w:val="richmediacontentany"/>
          <w:rFonts w:ascii="-apple-system" w:eastAsia="-apple-system" w:hAnsi="-apple-system" w:cs="-apple-system"/>
          <w:color w:val="333333"/>
          <w:spacing w:val="8"/>
        </w:rPr>
        <w:t>一财数据（Yinfinty）可覆盖全网种草达人超2万人，单品牌最高贡献超8000万GMV。</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291592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4654" name=""/>
                    <pic:cNvPicPr>
                      <a:picLocks noChangeAspect="1"/>
                    </pic:cNvPicPr>
                  </pic:nvPicPr>
                  <pic:blipFill>
                    <a:blip xmlns:r="http://schemas.openxmlformats.org/officeDocument/2006/relationships" r:embed="rId25"/>
                    <a:stretch>
                      <a:fillRect/>
                    </a:stretch>
                  </pic:blipFill>
                  <pic:spPr>
                    <a:xfrm>
                      <a:off x="0" y="0"/>
                      <a:ext cx="5486400" cy="2915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291592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6311" name=""/>
                    <pic:cNvPicPr>
                      <a:picLocks noChangeAspect="1"/>
                    </pic:cNvPicPr>
                  </pic:nvPicPr>
                  <pic:blipFill>
                    <a:blip xmlns:r="http://schemas.openxmlformats.org/officeDocument/2006/relationships" r:embed="rId26"/>
                    <a:stretch>
                      <a:fillRect/>
                    </a:stretch>
                  </pic:blipFill>
                  <pic:spPr>
                    <a:xfrm>
                      <a:off x="0" y="0"/>
                      <a:ext cx="5486400" cy="29159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8"/>
          <w:sz w:val="26"/>
          <w:szCs w:val="26"/>
          <w:u w:val="none"/>
        </w:rPr>
        <w:drawing>
          <wp:inline>
            <wp:extent cx="5486400" cy="318008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22301" name=""/>
                    <pic:cNvPicPr>
                      <a:picLocks noChangeAspect="1"/>
                    </pic:cNvPicPr>
                  </pic:nvPicPr>
                  <pic:blipFill>
                    <a:blip xmlns:r="http://schemas.openxmlformats.org/officeDocument/2006/relationships" r:embed="rId27"/>
                    <a:stretch>
                      <a:fillRect/>
                    </a:stretch>
                  </pic:blipFill>
                  <pic:spPr>
                    <a:xfrm>
                      <a:off x="0" y="0"/>
                      <a:ext cx="5486400" cy="318008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333333"/>
          <w:spacing w:val="8"/>
        </w:rPr>
        <w:t>合作大会上，还为2021年度SMG的优秀合作伙伴进行了颁奖。</w:t>
      </w:r>
      <w:r>
        <w:rPr>
          <w:rStyle w:val="richmediacontentany"/>
          <w:rFonts w:ascii="-apple-system" w:eastAsia="-apple-system" w:hAnsi="-apple-system" w:cs="-apple-system"/>
          <w:color w:val="333333"/>
          <w:spacing w:val="8"/>
        </w:rPr>
        <w:t>这次合作大会，是SMG积极响应主力军全面挺进主战场，</w:t>
      </w:r>
      <w:r>
        <w:rPr>
          <w:rStyle w:val="richmediacontentany"/>
          <w:rFonts w:ascii="-apple-system" w:eastAsia="-apple-system" w:hAnsi="-apple-system" w:cs="-apple-system"/>
          <w:color w:val="333333"/>
          <w:spacing w:val="8"/>
        </w:rPr>
        <w:t>探索全媒、全屏、全域联动，传递SMG全媒体生态体系的新产品、新思路、新玩法，强化数字化营销布局，从传统营销向数字化营销全面转型的有效尝试。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color w:val="757576"/>
          <w:spacing w:val="8"/>
        </w:rPr>
        <w:t>部分摄影：李之祺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东方卫视《这就是中</w:t>
      </w:r>
      <w:r>
        <w:rPr>
          <w:rStyle w:val="richmediacontentany"/>
          <w:rFonts w:ascii="SimSun" w:eastAsia="SimSun" w:hAnsi="SimSun" w:cs="SimSun"/>
          <w:b/>
          <w:bCs/>
          <w:color w:val="A63415"/>
          <w:spacing w:val="22"/>
          <w:sz w:val="23"/>
          <w:szCs w:val="23"/>
        </w:rPr>
        <w:t>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Style w:val="richmediacontentany"/>
          <w:rFonts w:ascii="SimSun" w:eastAsia="SimSun" w:hAnsi="SimSun" w:cs="SimSun"/>
          <w:b/>
          <w:bCs/>
          <w:color w:val="A63415"/>
          <w:spacing w:val="22"/>
          <w:sz w:val="23"/>
          <w:szCs w:val="23"/>
        </w:rPr>
        <w:t>每周一晚</w:t>
      </w:r>
      <w:r>
        <w:rPr>
          <w:rStyle w:val="richmediacontentany"/>
          <w:rFonts w:ascii="Arial" w:eastAsia="Arial" w:hAnsi="Arial" w:cs="Arial"/>
          <w:b/>
          <w:bCs/>
          <w:color w:val="A63415"/>
          <w:spacing w:val="22"/>
          <w:sz w:val="23"/>
          <w:szCs w:val="23"/>
        </w:rPr>
        <w:t>22</w:t>
      </w:r>
      <w:r>
        <w:rPr>
          <w:rStyle w:val="richmediacontentany"/>
          <w:rFonts w:ascii="SimSun" w:eastAsia="SimSun" w:hAnsi="SimSun" w:cs="SimSun"/>
          <w:b/>
          <w:bCs/>
          <w:color w:val="A63415"/>
          <w:spacing w:val="22"/>
          <w:sz w:val="23"/>
          <w:szCs w:val="23"/>
        </w:rPr>
        <w:t>：</w:t>
      </w:r>
      <w:r>
        <w:rPr>
          <w:rStyle w:val="richmediacontentany"/>
          <w:rFonts w:ascii="Arial" w:eastAsia="Arial" w:hAnsi="Arial" w:cs="Arial"/>
          <w:b/>
          <w:bCs/>
          <w:color w:val="A63415"/>
          <w:spacing w:val="22"/>
          <w:sz w:val="23"/>
          <w:szCs w:val="23"/>
        </w:rPr>
        <w:t>00</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right"/>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240" w:right="240" w:firstLine="0"/>
        <w:jc w:val="center"/>
        <w:rPr>
          <w:rFonts w:ascii="Arial" w:eastAsia="Arial" w:hAnsi="Arial" w:cs="Arial"/>
          <w:color w:val="333333"/>
          <w:spacing w:val="22"/>
        </w:rPr>
      </w:pPr>
      <w:r>
        <w:rPr>
          <w:rStyle w:val="richmediacontentany"/>
          <w:rFonts w:ascii="SimSun" w:eastAsia="SimSun" w:hAnsi="SimSun" w:cs="SimSun"/>
          <w:b/>
          <w:bCs/>
          <w:color w:val="0864A4"/>
          <w:spacing w:val="22"/>
          <w:sz w:val="21"/>
          <w:szCs w:val="21"/>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480" w:lineRule="atLeast"/>
        <w:ind w:left="240" w:right="240" w:firstLine="0"/>
        <w:jc w:val="center"/>
        <w:rPr>
          <w:rFonts w:ascii="Arial" w:eastAsia="Arial" w:hAnsi="Arial" w:cs="Arial"/>
          <w:color w:val="333333"/>
          <w:spacing w:val="22"/>
        </w:rPr>
      </w:pPr>
      <w:r>
        <w:rPr>
          <w:rStyle w:val="richmediacontentany"/>
          <w:rFonts w:ascii="SimSun" w:eastAsia="SimSun" w:hAnsi="SimSun" w:cs="SimSun"/>
          <w:b/>
          <w:bCs/>
          <w:color w:val="0864A4"/>
          <w:spacing w:val="22"/>
          <w:sz w:val="21"/>
          <w:szCs w:val="21"/>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FFFFFF"/>
        <w:spacing w:before="0" w:after="75" w:line="510" w:lineRule="atLeast"/>
        <w:ind w:left="240" w:right="240" w:firstLine="0"/>
        <w:jc w:val="center"/>
        <w:rPr>
          <w:rFonts w:ascii="Arial" w:eastAsia="Arial" w:hAnsi="Arial" w:cs="Arial"/>
          <w:color w:val="333333"/>
          <w:spacing w:val="22"/>
          <w:sz w:val="26"/>
          <w:szCs w:val="26"/>
        </w:rPr>
      </w:pPr>
      <w:r>
        <w:rPr>
          <w:rFonts w:ascii="Arial" w:eastAsia="Arial" w:hAnsi="Arial" w:cs="Arial"/>
          <w:strike w:val="0"/>
          <w:color w:val="333333"/>
          <w:spacing w:val="22"/>
          <w:sz w:val="26"/>
          <w:szCs w:val="26"/>
          <w:u w:val="none"/>
        </w:rPr>
        <w:drawing>
          <wp:inline>
            <wp:extent cx="4954791" cy="740007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93866" name=""/>
                    <pic:cNvPicPr>
                      <a:picLocks noChangeAspect="1"/>
                    </pic:cNvPicPr>
                  </pic:nvPicPr>
                  <pic:blipFill>
                    <a:blip xmlns:r="http://schemas.openxmlformats.org/officeDocument/2006/relationships" r:embed="rId2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ead-morearea">
    <w:name w:val="read-more__area"/>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4952&amp;idx=2&amp;sn=8dd4610c08078f9995e256a0d6be0a60&amp;chksm=8bb06cd9bcc7e5cf0348fec8738e3243a6d7dc590477a5308e8f952ae4e51c33883491f149f9&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全媒全屏全域联动 SMG强化数字化营销布局</dc:title>
  <cp:revision>1</cp:revision>
</cp:coreProperties>
</file>