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再延15天！百视TV免费向上海市民开放所有付费内容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2022-03-28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strike w:val="0"/>
          <w:color w:val="244061"/>
          <w:spacing w:val="30"/>
          <w:sz w:val="23"/>
          <w:szCs w:val="23"/>
          <w:u w:val="none"/>
        </w:rPr>
        <w:drawing>
          <wp:inline>
            <wp:extent cx="5486400" cy="416966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21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17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日，为响应上海市网络文化协会党委的号召，在网信部门的指导下，作为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SMG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旗下的流媒体平台，百视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TV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整合了全集团的优质资源，宣布自即日起至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31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日，向全上海市民免费开放所有线上付费内容。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现为配合做好全市新一轮核酸筛查工作，丰富广大市民文化生活，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百视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TV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决定将该行动延长至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15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日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，上海市民只需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下载并登录百视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TV APP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，即可在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15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日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24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点前畅享所有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VIP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内容。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同时，原付费用户会员有效期同步顺延。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strike w:val="0"/>
          <w:color w:val="244061"/>
          <w:spacing w:val="30"/>
          <w:sz w:val="23"/>
          <w:szCs w:val="23"/>
          <w:u w:val="none"/>
        </w:rPr>
        <w:drawing>
          <wp:inline>
            <wp:extent cx="5486400" cy="314076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22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b/>
          <w:bCs/>
          <w:strike w:val="0"/>
          <w:color w:val="244061"/>
          <w:spacing w:val="30"/>
          <w:sz w:val="23"/>
          <w:szCs w:val="23"/>
          <w:u w:val="none"/>
        </w:rPr>
        <w:drawing>
          <wp:inline>
            <wp:extent cx="5486400" cy="279156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8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为致敬最美守护者，百视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TV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此前向上海市奋战在疫情防控、医疗救治一线的工作人员、医务人员、基层和志愿服务者赠送出的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百视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TV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月卡加油包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也将在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17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日已宣布延长一个月的基础上同步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再顺延一个月。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right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百视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TV</w:t>
      </w:r>
    </w:p>
    <w:p>
      <w:pPr>
        <w:shd w:val="clear" w:color="auto" w:fill="FFFFFF"/>
        <w:spacing w:before="0" w:after="0" w:line="510" w:lineRule="atLeast"/>
        <w:ind w:left="360" w:right="360"/>
        <w:jc w:val="right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2022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28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480" w:right="480"/>
        <w:jc w:val="center"/>
        <w:rPr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</w:pPr>
    </w:p>
    <w:p>
      <w:pPr>
        <w:shd w:val="clear" w:color="auto" w:fill="CDCDCD"/>
        <w:spacing w:before="0" w:after="120" w:line="408" w:lineRule="atLeast"/>
        <w:ind w:left="240" w:right="240"/>
        <w:jc w:val="center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89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540" w:right="540"/>
        <w:jc w:val="center"/>
        <w:rPr>
          <w:rStyle w:val="richmediacontentany"/>
          <w:rFonts w:ascii="-apple-system" w:eastAsia="-apple-system" w:hAnsi="-apple-system" w:cs="-apple-system"/>
          <w:color w:val="4C4C4C"/>
          <w:spacing w:val="38"/>
          <w:sz w:val="30"/>
          <w:szCs w:val="30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545353"/>
          <w:spacing w:val="38"/>
          <w:sz w:val="30"/>
          <w:szCs w:val="30"/>
        </w:rPr>
        <w:t>往期推荐</w:t>
      </w:r>
    </w:p>
    <w:p>
      <w:pPr>
        <w:shd w:val="clear" w:color="auto" w:fill="CDCDCD"/>
        <w:spacing w:before="0" w:after="135" w:line="408" w:lineRule="atLeast"/>
        <w:ind w:left="240" w:right="240"/>
        <w:jc w:val="right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33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75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576B95"/>
          <w:spacing w:val="8"/>
          <w:sz w:val="26"/>
          <w:szCs w:val="26"/>
          <w:u w:val="none"/>
        </w:rPr>
        <w:drawing>
          <wp:inline>
            <wp:extent cx="5486400" cy="1285875"/>
            <wp:docPr id="100006" name="">
              <a:hlinkClick xmlns:a="http://schemas.openxmlformats.org/drawingml/2006/main" xmlns:r="http://schemas.openxmlformats.org/officeDocument/2006/relationships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34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75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858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79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75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576B95"/>
          <w:spacing w:val="8"/>
          <w:sz w:val="26"/>
          <w:szCs w:val="26"/>
          <w:u w:val="none"/>
        </w:rPr>
        <w:drawing>
          <wp:inline>
            <wp:extent cx="5486400" cy="1285875"/>
            <wp:docPr id="100008" name="">
              <a:hlinkClick xmlns:a="http://schemas.openxmlformats.org/drawingml/2006/main" xmlns:r="http://schemas.openxmlformats.org/officeDocument/2006/relationships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146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75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576B95"/>
          <w:spacing w:val="8"/>
          <w:sz w:val="26"/>
          <w:szCs w:val="26"/>
          <w:u w:val="none"/>
        </w:rPr>
        <w:drawing>
          <wp:inline>
            <wp:extent cx="5486400" cy="1285875"/>
            <wp:docPr id="100009" name="">
              <a:hlinkClick xmlns:a="http://schemas.openxmlformats.org/drawingml/2006/main" xmlns:r="http://schemas.openxmlformats.org/officeDocument/2006/relationships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23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mp-quote" w:eastAsia="mp-quote" w:hAnsi="mp-quote" w:cs="mp-quote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3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7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15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33850" cy="27813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9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576B95"/>
          <w:spacing w:val="8"/>
          <w:sz w:val="26"/>
          <w:szCs w:val="26"/>
          <w:u w:val="none"/>
        </w:rPr>
        <w:drawing>
          <wp:inline>
            <wp:extent cx="4000500" cy="27813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51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8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g4OTUyNzYxOQ==&amp;mid=2247495619&amp;idx=1&amp;sn=0446e00cc98829e5ecfa31daadf1db14&amp;chksm=cfe823eff89faaf962081953b69384f07b7af6f50ee7f517c318963fb08407f9f82879e1e834&amp;scene=21#wechat_redirect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hyperlink" Target="http://mp.weixin.qq.com/s?__biz=Mzg4OTUyNzYxOQ==&amp;mid=2247496006&amp;idx=1&amp;sn=237be1c9e30a74043564b5c5a626d160&amp;chksm=cfe83d6af89fb47cec36f57c4df41231198c073cab1a621516b5b9d4653eab5ee04141453497&amp;scene=21#wechat_redirect" TargetMode="External" /><Relationship Id="rId14" Type="http://schemas.openxmlformats.org/officeDocument/2006/relationships/image" Target="media/image7.jpeg" /><Relationship Id="rId15" Type="http://schemas.openxmlformats.org/officeDocument/2006/relationships/hyperlink" Target="http://mp.weixin.qq.com/s?__biz=Mzg4OTUyNzYxOQ==&amp;mid=2247495953&amp;idx=1&amp;sn=3a38ff40c1470f82c9159a0ae9b5ef5b&amp;chksm=cfe83d3df89fb42b871b53819430dbdbfa7c5eb341ff073a1165285af9e898b8e945262ad7b7&amp;scene=21#wechat_redirect" TargetMode="External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image" Target="media/image11.jpeg" /><Relationship Id="rId2" Type="http://schemas.openxmlformats.org/officeDocument/2006/relationships/webSettings" Target="webSettings.xml" /><Relationship Id="rId20" Type="http://schemas.openxmlformats.org/officeDocument/2006/relationships/hyperlink" Target="https://app.bestv.cn/" TargetMode="Externa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360&amp;idx=3&amp;sn=239c89830dd3f5be37b550e817d07e43&amp;chksm=8bb01561bcc79c77ca910c24e242f6022c25682b0d5b14cb9d17080f9956efcdf1f518b4a36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再延15天！百视TV免费向上海市民开放所有付费内容</dc:title>
  <cp:revision>1</cp:revision>
</cp:coreProperties>
</file>