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今晚22:00《这就是中国》听张维为谈谈GDP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2022-09-19</w:t>
      </w:r>
      <w:hyperlink r:id="rId5" w:anchor="wechat_redirect&amp;cpage=1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w:t>
      </w:r>
      <w:r>
        <w:rPr>
          <w:rStyle w:val="richmediacontentany"/>
          <w:rFonts w:ascii="微软雅黑" w:eastAsia="微软雅黑" w:hAnsi="微软雅黑" w:cs="微软雅黑"/>
          <w:b/>
          <w:bCs/>
          <w:color w:val="A12420"/>
          <w:spacing w:val="8"/>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东方卫视《这就是</w:t>
      </w:r>
      <w:r>
        <w:rPr>
          <w:rStyle w:val="richmediacontentany"/>
          <w:rFonts w:ascii="微软雅黑" w:eastAsia="微软雅黑" w:hAnsi="微软雅黑" w:cs="微软雅黑"/>
          <w:b/>
          <w:bCs/>
          <w:color w:val="A12420"/>
          <w:spacing w:val="8"/>
        </w:rPr>
        <w:t>中国》（160期）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w:t>
      </w:r>
      <w:r>
        <w:rPr>
          <w:rStyle w:val="richmediacontentany"/>
          <w:rFonts w:ascii="微软雅黑" w:eastAsia="微软雅黑" w:hAnsi="微软雅黑" w:cs="微软雅黑"/>
          <w:b/>
          <w:bCs/>
          <w:color w:val="A12420"/>
          <w:spacing w:val="8"/>
        </w:rPr>
        <w:t>谈谈GDP</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0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326349" name=""/>
                    <pic:cNvPicPr>
                      <a:picLocks noChangeAspect="1"/>
                    </pic:cNvPicPr>
                  </pic:nvPicPr>
                  <pic:blipFill>
                    <a:blip xmlns:r="http://schemas.openxmlformats.org/officeDocument/2006/relationships" r:embed="rId6"/>
                    <a:stretch>
                      <a:fillRect/>
                    </a:stretch>
                  </pic:blipFill>
                  <pic:spPr>
                    <a:xfrm>
                      <a:off x="0" y="0"/>
                      <a:ext cx="5276850"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复旦大学中国研究院院长张维为教授将携手复旦大学中国研究院助理研究员罗峰，带领观众深入认识和分析GDP。</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05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82902" name=""/>
                    <pic:cNvPicPr>
                      <a:picLocks noChangeAspect="1"/>
                    </pic:cNvPicPr>
                  </pic:nvPicPr>
                  <pic:blipFill>
                    <a:blip xmlns:r="http://schemas.openxmlformats.org/officeDocument/2006/relationships" r:embed="rId7"/>
                    <a:stretch>
                      <a:fillRect/>
                    </a:stretch>
                  </pic:blipFill>
                  <pic:spPr>
                    <a:xfrm>
                      <a:off x="0" y="0"/>
                      <a:ext cx="52768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和西方主要国家GDP的计算方法主要采用‘支出法’，就是一个国家产生的各种支出费用的总和。比方说，2020年初，美国的核酸检测收费比中国贵100倍，那么美国核酸检测一项在它的GDP的统计中就比我们高100倍。以此类推，GDP的差距就越来越大。社会主义国家的服务业，普遍享有国家的不同类型的各种各样的补贴，或者国家规定的价格上限，从大学学费到单位食堂、到高铁车票，从医院看病到各种中介服务等等，总体上都比美国这类国家便宜很多，所以服务支出方面，中国的GDP要比美国低很多。”“美国GDP统计中还采用了一个叫作虚拟租金的计算法，就是你购房自住，不出租，它也要在GDP核算中推论你有一部分的虚拟租金的这个收入。那么中国的住房自有率超过90%，远远高于美国，所以这种虚拟房租的计算方法也显著低估了中国的GDP。”张维为教授从购买力平价的角度分析仅用美元计算GDP的不合理性，并通过列举“支出法”、虚拟租金等计算法，来探讨GDP本身的统计方法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作为一个经济核算的指标，GDP其实存在着一些天然的局限性，首先是GDP它虽然可以很好地去概括一个国家经济发展的总体水平，但是它很难去衡量在国民幸福和社会进步等方面的一个成果，尤其它是没有办法去探讨经济发展是否能够惠及民众这些社会问题的。第二，它是一个致力于跨国比较的指标，GDP它可以很好地衡量那些方便跨国流动的物资，但是在一些本地化产品上，特别是涉及到居民的日常生活方面的比较是存在极大的不足的。第三，GDP它没有办法很好地去估量经济增长对于自然资源的滥用和对于自然环境所造成的破坏。”罗峰老师将GDP概念的大行其道视为美国霸权的一个体现，分享GDP的一些天然的局限性，并对比中美两国不同的GDP计算方法、利用效率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圆桌讨论环节，张维为教授和罗峰老师还将解答“上半年我国GDP增速放缓对我国经济会有哪些影响？”等观众问题。今晚22:00敬请锁定东方卫视，听张维为和罗峰谈谈GDP。</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74827"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688&amp;idx=1&amp;sn=6b175bd0a33214a104a0168b73d81a7a&amp;chksm=8bb01e59bcc7974f934ee1f294ebed5e95a9715267b507c74cef240ee2367c3940995c507b70&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今晚22-00《这就是中国》听张维为谈谈GDP</dc:title>
  <cp:revision>1</cp:revision>
</cp:coreProperties>
</file>