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张维为：谈谈GDP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2022-09-20</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GDP</w:t>
      </w:r>
      <w:r>
        <w:rPr>
          <w:rStyle w:val="richmediacontentany"/>
          <w:rFonts w:ascii="微软雅黑" w:eastAsia="微软雅黑" w:hAnsi="微软雅黑" w:cs="微软雅黑"/>
          <w:color w:val="3E3E3E"/>
          <w:spacing w:val="15"/>
          <w:sz w:val="23"/>
          <w:szCs w:val="23"/>
          <w:shd w:val="clear" w:color="auto" w:fill="FFFFFF"/>
        </w:rPr>
        <w:t>是我们讨论经济规模最常用的一个概念，我们经常听到的说法就是中国经济规模现在是世界老二，仅次于美国：</w:t>
      </w:r>
      <w:r>
        <w:rPr>
          <w:rStyle w:val="richmediacontentany"/>
          <w:rFonts w:ascii="微软雅黑" w:eastAsia="微软雅黑" w:hAnsi="微软雅黑" w:cs="微软雅黑"/>
          <w:color w:val="3E3E3E"/>
          <w:spacing w:val="15"/>
          <w:sz w:val="23"/>
          <w:szCs w:val="23"/>
          <w:shd w:val="clear" w:color="auto" w:fill="FFFFFF"/>
        </w:rPr>
        <w:t>2021</w:t>
      </w:r>
      <w:r>
        <w:rPr>
          <w:rStyle w:val="richmediacontentany"/>
          <w:rFonts w:ascii="微软雅黑" w:eastAsia="微软雅黑" w:hAnsi="微软雅黑" w:cs="微软雅黑"/>
          <w:color w:val="3E3E3E"/>
          <w:spacing w:val="15"/>
          <w:sz w:val="23"/>
          <w:szCs w:val="23"/>
          <w:shd w:val="clear" w:color="auto" w:fill="FFFFFF"/>
        </w:rPr>
        <w:t>年中国的</w:t>
      </w:r>
      <w:r>
        <w:rPr>
          <w:rStyle w:val="richmediacontentany"/>
          <w:rFonts w:ascii="微软雅黑" w:eastAsia="微软雅黑" w:hAnsi="微软雅黑" w:cs="微软雅黑"/>
          <w:color w:val="3E3E3E"/>
          <w:spacing w:val="15"/>
          <w:sz w:val="23"/>
          <w:szCs w:val="23"/>
          <w:shd w:val="clear" w:color="auto" w:fill="FFFFFF"/>
        </w:rPr>
        <w:t>GDP</w:t>
      </w:r>
      <w:r>
        <w:rPr>
          <w:rStyle w:val="richmediacontentany"/>
          <w:rFonts w:ascii="微软雅黑" w:eastAsia="微软雅黑" w:hAnsi="微软雅黑" w:cs="微软雅黑"/>
          <w:color w:val="3E3E3E"/>
          <w:spacing w:val="15"/>
          <w:sz w:val="23"/>
          <w:szCs w:val="23"/>
          <w:shd w:val="clear" w:color="auto" w:fill="FFFFFF"/>
        </w:rPr>
        <w:t>是</w:t>
      </w:r>
      <w:r>
        <w:rPr>
          <w:rStyle w:val="richmediacontentany"/>
          <w:rFonts w:ascii="微软雅黑" w:eastAsia="微软雅黑" w:hAnsi="微软雅黑" w:cs="微软雅黑"/>
          <w:color w:val="3E3E3E"/>
          <w:spacing w:val="15"/>
          <w:sz w:val="23"/>
          <w:szCs w:val="23"/>
          <w:shd w:val="clear" w:color="auto" w:fill="FFFFFF"/>
        </w:rPr>
        <w:t>17.7</w:t>
      </w:r>
      <w:r>
        <w:rPr>
          <w:rStyle w:val="richmediacontentany"/>
          <w:rFonts w:ascii="微软雅黑" w:eastAsia="微软雅黑" w:hAnsi="微软雅黑" w:cs="微软雅黑"/>
          <w:color w:val="3E3E3E"/>
          <w:spacing w:val="15"/>
          <w:sz w:val="23"/>
          <w:szCs w:val="23"/>
          <w:shd w:val="clear" w:color="auto" w:fill="FFFFFF"/>
        </w:rPr>
        <w:t>万亿美元，美国是</w:t>
      </w:r>
      <w:r>
        <w:rPr>
          <w:rStyle w:val="richmediacontentany"/>
          <w:rFonts w:ascii="微软雅黑" w:eastAsia="微软雅黑" w:hAnsi="微软雅黑" w:cs="微软雅黑"/>
          <w:color w:val="3E3E3E"/>
          <w:spacing w:val="15"/>
          <w:sz w:val="23"/>
          <w:szCs w:val="23"/>
          <w:shd w:val="clear" w:color="auto" w:fill="FFFFFF"/>
        </w:rPr>
        <w:t>23</w:t>
      </w:r>
      <w:r>
        <w:rPr>
          <w:rStyle w:val="richmediacontentany"/>
          <w:rFonts w:ascii="微软雅黑" w:eastAsia="微软雅黑" w:hAnsi="微软雅黑" w:cs="微软雅黑"/>
          <w:color w:val="3E3E3E"/>
          <w:spacing w:val="15"/>
          <w:sz w:val="23"/>
          <w:szCs w:val="23"/>
          <w:shd w:val="clear" w:color="auto" w:fill="FFFFFF"/>
        </w:rPr>
        <w:t>万亿美元，中国的</w:t>
      </w:r>
      <w:r>
        <w:rPr>
          <w:rStyle w:val="richmediacontentany"/>
          <w:rFonts w:ascii="微软雅黑" w:eastAsia="微软雅黑" w:hAnsi="微软雅黑" w:cs="微软雅黑"/>
          <w:color w:val="3E3E3E"/>
          <w:spacing w:val="15"/>
          <w:sz w:val="23"/>
          <w:szCs w:val="23"/>
          <w:shd w:val="clear" w:color="auto" w:fill="FFFFFF"/>
        </w:rPr>
        <w:t>GDP</w:t>
      </w:r>
      <w:r>
        <w:rPr>
          <w:rStyle w:val="richmediacontentany"/>
          <w:rFonts w:ascii="微软雅黑" w:eastAsia="微软雅黑" w:hAnsi="微软雅黑" w:cs="微软雅黑"/>
          <w:color w:val="3E3E3E"/>
          <w:spacing w:val="15"/>
          <w:sz w:val="23"/>
          <w:szCs w:val="23"/>
          <w:shd w:val="clear" w:color="auto" w:fill="FFFFFF"/>
        </w:rPr>
        <w:t>已经是美国的</w:t>
      </w:r>
      <w:r>
        <w:rPr>
          <w:rStyle w:val="richmediacontentany"/>
          <w:rFonts w:ascii="微软雅黑" w:eastAsia="微软雅黑" w:hAnsi="微软雅黑" w:cs="微软雅黑"/>
          <w:color w:val="3E3E3E"/>
          <w:spacing w:val="15"/>
          <w:sz w:val="23"/>
          <w:szCs w:val="23"/>
          <w:shd w:val="clear" w:color="auto" w:fill="FFFFFF"/>
        </w:rPr>
        <w:t>76%</w:t>
      </w:r>
      <w:r>
        <w:rPr>
          <w:rStyle w:val="richmediacontentany"/>
          <w:rFonts w:ascii="微软雅黑" w:eastAsia="微软雅黑" w:hAnsi="微软雅黑" w:cs="微软雅黑"/>
          <w:color w:val="3E3E3E"/>
          <w:spacing w:val="15"/>
          <w:sz w:val="23"/>
          <w:szCs w:val="23"/>
          <w:shd w:val="clear" w:color="auto" w:fill="FFFFFF"/>
        </w:rPr>
        <w:t>，然后大家都在推算哪一年中国经济规模将超过美国。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中美两国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GDP和PPP的对比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请大家注意，我们这里使用的是美元计算的名义GDP。我自己用这种说法是比较少的，因为我一直对按照美元官方汇率计算的GDP有所保留。如果一定要使用GDP，我自己是更倾向于使用购买力平价，英文叫PPP，Purchasing Power Parity。我自己实地考察过100多个国家，我觉得相对而言，就是购买力平价计算的GDP比美元官方汇率计算的GDP更加靠谱一点，当然我们要承认没有一种指标体系是十全十美的，十全十美的指标体系还有待我们去创造和发明。根据购买力平价，中国经济规模实际上是在2014年就超过了美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低估GDP会引发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地缘政治的风险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这个节目里边曾经讲过这么一个观点，就是俄罗斯它能够顶住美西方金融制裁和经济制裁，继续对乌克兰进行特别军事行动，一个主要原因是俄罗斯的整体实力被西方大大地低估了。按照目前通行的，根据美元官方汇率计算的名义GDP，俄罗斯的经济规模小于西班牙，小于中国的广东省，但法国经济学家萨皮尔根据购买力平价对俄罗斯经济规模做了重新的评估，认为实际上俄罗斯的经济规模是接近欧洲最大的经济体德国，4.6万亿美元。另外，他还指出西方国家GDP中三分之二以上都是服务业，服务业普遍是被高估的，我觉得这个观点是有道理的。其实，当年西方不顾俄罗斯的强烈反对，坚持五次北约东扩，很大程度上跟俄罗斯经济规模、整体实力被西方低估有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我自己回溯一下，实际上</w:t>
      </w:r>
      <w:r>
        <w:rPr>
          <w:rStyle w:val="richmediacontentany"/>
          <w:rFonts w:ascii="微软雅黑" w:eastAsia="微软雅黑" w:hAnsi="微软雅黑" w:cs="微软雅黑"/>
          <w:color w:val="3E3E3E"/>
          <w:spacing w:val="15"/>
          <w:sz w:val="23"/>
          <w:szCs w:val="23"/>
          <w:shd w:val="clear" w:color="auto" w:fill="FFFFFF"/>
        </w:rPr>
        <w:t>中国也遇到过类似的问题，就是低估自己的实力会引来地缘政治的风险，甚至巨大风险。西方文化的特点是承认实力，欺软怕硬，如果它认为你就这么点实力，它会动手欺负你。我在2011年出版的《中国震撼：一个“文明型国家”的崛起》这本著作中，介绍过英国著名的经济史学家安格斯·麦迪森讨论过的一个案例，他说香港最后一任总督彭定康，他误判了中国的实力，导致他与中国在香港政治改革问题上的冲突。彭定康曾经在1997年在《经济学人》杂志上撰文，说“英国的GDP几乎是中国的两倍，中国的GDP大致等于比利时、荷兰、卢森堡之和”。而根据麦迪森本人当时用购买力平价计算，当时英国的GDP，他认为大约是中国的三分之一，中国的GDP是荷兰、比利时、卢森堡加在一起的6.5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香港主权交接的前五年内，彭定康敢于挑战中国政府，在香港开始所谓的“政治改革”，我想他低估中国的整体实力应该是一个原因。我们知道，从1842年开始的150多年的时间中，香港一直实行行政主导的制度，总督由英国人指派，身兼政府首脑、驻军统帅、立法会主席，但彭定康出任港督后，他突然表示他觉得自己权力太大了，他开始弱化行政权力，立法局的部分议员开始直选产生，原来由政府控制的房屋、广播、金融、机场等等都纷纷的公司化、独立化。彭定康的这些所谓的“政治改革”，给1997年后的香港埋下了很多雷，祸害香港20余年, 至今可以说他的余毒还没有完全消除。好在2021年，全国人大通过了《港区国安法》，我们正在逐步清除他的余毒。换言之，一个国家的实力被低估也可能引发对手的战略误判，造成国家利益的损失。</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美国用“支出法”计算GDP</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存在的诸多问题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除了购买力平价之外，我们还可以再讨论一下GDP本身的统计方法问题。</w:t>
      </w:r>
      <w:r>
        <w:rPr>
          <w:rStyle w:val="richmediacontentany"/>
          <w:rFonts w:ascii="微软雅黑" w:eastAsia="微软雅黑" w:hAnsi="微软雅黑" w:cs="微软雅黑"/>
          <w:color w:val="3E3E3E"/>
          <w:spacing w:val="15"/>
          <w:sz w:val="23"/>
          <w:szCs w:val="23"/>
          <w:shd w:val="clear" w:color="auto" w:fill="FFFFFF"/>
        </w:rPr>
        <w:t>美国和西方主要国家GDP的计算方法主要采用“支出法”，就是一个国家产生的各种支出费用的总和，比方说，2020年初，美国的核酸检测收费比中国贵100倍，那么美国核酸检测一项在它的GDP的统计中就比我们高100倍。以此类推，GDP的差距就越来越大。社会主义国家的服务业，普遍享有国家的不同类型的各种各样的补贴，或者国家规定的价格上限，从大学学费到单位食堂、到高铁车票，从医院看病到各种中介服务等等，总体上都比美国这类国家便宜很多，所以服务支出方面，中国的GDP要比美国低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2021年，中国的人均预期寿命为78.2岁，美国为76.6岁。然而，尽管美国的人均预期寿命比中国低，美国的医疗费用却远远高于中国，大约占到美国GDP的17%，也高于其他所有的西方国家，主要原因就是美国的医疗机构和保险公司实际上是美国最大的垄断利益集团之一，这种垄断推高了医疗价格。这两年新冠疫情大流行，病人的增加就提升了医疗的费用；美国枪击案件这两年大幅增加，枪伤也增加了医疗消费，可能还增加打官司的费用。美国律师费一直受人诟病，律师在美国是一个庞大的利益集团，律师费用大概占到美国的GDP大约6%。</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w:t>
      </w:r>
      <w:r>
        <w:rPr>
          <w:rStyle w:val="richmediacontentany"/>
          <w:rFonts w:ascii="微软雅黑" w:eastAsia="微软雅黑" w:hAnsi="微软雅黑" w:cs="微软雅黑"/>
          <w:color w:val="3E3E3E"/>
          <w:spacing w:val="15"/>
          <w:sz w:val="23"/>
          <w:szCs w:val="23"/>
          <w:shd w:val="clear" w:color="auto" w:fill="FFFFFF"/>
        </w:rPr>
        <w:t>美国还有庞大的会计师的队伍，美国的税制非常复杂，家庭一起报税是一种计算方法，分开报税又是另外一种计算方法，没有专业的会计师，普通人根本搞不清楚如何填各种各样的税单，所以美国有十分庞大的会计师队伍，规模至少是中国的六倍，而美国人口连中国的四分之一都不到。和庞大的律师队伍一样，美国的会计师也是一个相当大的利益集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我还看到一个材料，2018年，美国建筑业的GDP增加值为8400亿美元，中国建筑业GDP增加值是9340亿美元，仅仅比美国多10% 而已。经常访问美国的人都知道，美国的基建规模远远小于“基建狂魔”中国。2018年，中国水泥产销量是22亿吨，美国是8850万吨，中国大概是美国的二十五倍。中国每年建成4000多公里的铁路，5000多公里的高速公路，上万座桥梁，这些数字在美国几乎是零，但美国建筑业的GDP居然和中国不相上下，这只能说明美国的建筑支出比中国高太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w:t>
      </w:r>
      <w:r>
        <w:rPr>
          <w:rStyle w:val="richmediacontentany"/>
          <w:rFonts w:ascii="微软雅黑" w:eastAsia="微软雅黑" w:hAnsi="微软雅黑" w:cs="微软雅黑"/>
          <w:color w:val="3E3E3E"/>
          <w:spacing w:val="15"/>
          <w:sz w:val="23"/>
          <w:szCs w:val="23"/>
          <w:shd w:val="clear" w:color="auto" w:fill="FFFFFF"/>
        </w:rPr>
        <w:t>美国GDP统计中还采用了一个叫作虚拟租金的计算法，就是你购房自住，不出租，它也要在GDP核算中推论你有一部分的虚拟租金的这个收入。那么中国的住房自有率超过90%，远远高于美国，所以这种虚拟房租的计算方法也显著低估了中国的GDP。据说最近美国又在推出叫家庭劳务的虚拟费用，就是家庭劳务也算到GDP中间，这样GDP能不高吗？此外，就是美国的服务业GDP占比80%以上，其中金融业占了美国GDP半壁江山，这种经济全面“向虚”的问题日益严重，令巨量货币实际上在金融市场上空转，以虚拟经济来支撑GDP，一般估计，这中间大约只有15%的货币是进入到美国的实体经济的，其余的基本上都在金融领域中循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GDP计算方法值得大家关注，它涉及到如何实事求是地评估自己和评估对手，既不夸大，也不缩小，知己知彼，这实在是太重要了。但是美国中央情报局也不是傻瓜，连着很多年，它都用购买力平价计算中国的经济规模，所以美国今天对于中国超越美国，越来越坐立不安，但它又没什么招。所以我想我们应该继续以中国“心定”来应对美国的“心乱”，把不自信的帽子送给美国这个“泥足巨人”！好，今天我就讲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（本节目播出于2022年09月05日）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5296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703&amp;idx=1&amp;sn=09489b081a0987b62e4ed1591f7c723c&amp;chksm=8bb01e46bcc79750c9a1869428bbfdad18ca0bbce9cdded171c5bde0e8cc4c147731f68ad4a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张维为：谈谈GDP</dc:title>
  <cp:revision>1</cp:revision>
</cp:coreProperties>
</file>