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张维为：中国航空航天，创新前行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2022-10-11</w:t>
      </w:r>
      <w:hyperlink r:id="rId5" w:anchor="wechat_redirect&amp;cpage=143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F7F7F"/>
          <w:spacing w:val="8"/>
          <w:sz w:val="18"/>
          <w:szCs w:val="18"/>
        </w:rPr>
        <w:t>点击上方“蓝字”，发现更多精彩。</w:t>
      </w:r>
    </w:p>
    <w:p>
      <w:pP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22:00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0054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9878&amp;idx=2&amp;sn=b76486935883d21b024abe659b9ff3da&amp;chksm=8bb01f97bcc7968126cfc6fed6ebab34bddd40016362b1a5e46ba90ca2597e18c32ab1326885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张维为：中国航空航天，创新前行</dc:title>
  <cp:revision>1</cp:revision>
</cp:coreProperties>
</file>