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8.11 -->
  <w:body>
    <w:p>
      <w:pPr>
        <w:pStyle w:val="richmediatitle"/>
        <w:pBdr>
          <w:top w:val="none" w:sz="0" w:space="15" w:color="auto"/>
          <w:left w:val="none" w:sz="0" w:space="12" w:color="auto"/>
          <w:bottom w:val="single" w:sz="6" w:space="9" w:color="E7E7EB"/>
          <w:right w:val="none" w:sz="0" w:space="12" w:color="auto"/>
        </w:pBdr>
        <w:shd w:val="clear" w:color="auto" w:fill="FFFFFF"/>
        <w:spacing w:before="0" w:after="210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33"/>
          <w:szCs w:val="33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“清零”、“共存”既是主义之争，也是问题之争 </w:t>
      </w:r>
    </w:p>
    <w:p>
      <w:pPr>
        <w:pStyle w:val="richmediametalis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</w:pPr>
      <w:r>
        <w:rPr>
          <w:rStyle w:val="richmediametaiconappmsgtag"/>
          <w:rFonts w:ascii="Microsoft YaHei UI" w:eastAsia="Microsoft YaHei UI" w:hAnsi="Microsoft YaHei UI" w:cs="Microsoft YaHei UI"/>
          <w:color w:val="FFFFFF"/>
          <w:spacing w:val="8"/>
          <w:sz w:val="18"/>
          <w:szCs w:val="18"/>
          <w:shd w:val="clear" w:color="auto" w:fill="F2F2F2"/>
        </w:rPr>
        <w:t>原创</w:t>
      </w: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  <w:r>
        <w:rPr>
          <w:rStyle w:val="richmediametalink"/>
          <w:rFonts w:ascii="Microsoft YaHei UI" w:eastAsia="Microsoft YaHei UI" w:hAnsi="Microsoft YaHei UI" w:cs="Microsoft YaHei UI"/>
          <w:spacing w:val="8"/>
          <w:sz w:val="23"/>
          <w:szCs w:val="23"/>
        </w:rPr>
        <w:t>简思智库</w:t>
      </w: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 xml:space="preserve"> </w:t>
      </w:r>
      <w:hyperlink r:id="rId4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简思智库</w:t>
        </w:r>
      </w:hyperlink>
      <w:r>
        <w:rPr>
          <w:rStyle w:val="richmediameta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简思智库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any"/>
        <w:shd w:val="clear" w:color="auto" w:fill="FFFFFF"/>
        <w:spacing w:before="0" w:after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微信号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GNSSTT</w:t>
      </w:r>
    </w:p>
    <w:p>
      <w:pPr>
        <w:pStyle w:val="any"/>
        <w:shd w:val="clear" w:color="auto" w:fill="FFFFFF"/>
        <w:spacing w:before="0" w:after="15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功能介绍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策者简也，思而后行。</w:t>
      </w:r>
    </w:p>
    <w:p>
      <w:pPr>
        <w:shd w:val="clear" w:color="auto" w:fill="FFFFFF"/>
        <w:spacing w:after="330" w:line="300" w:lineRule="atLeast"/>
        <w:ind w:left="240" w:right="240"/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>2022-03-27</w:t>
      </w:r>
      <w:hyperlink r:id="rId5" w:anchor="wechat_redirect&amp;cpage=288" w:tgtFrame="_blank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原文</w:t>
        </w:r>
      </w:hyperlink>
      <w:r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  <w:t xml:space="preserve"> </w:t>
      </w:r>
      <w:r>
        <w:rPr>
          <w:rStyle w:val="richmediametalistem"/>
          <w:rFonts w:ascii="Microsoft YaHei UI" w:eastAsia="Microsoft YaHei UI" w:hAnsi="Microsoft YaHei UI" w:cs="Microsoft YaHei UI"/>
          <w:vanish/>
          <w:color w:val="8C8C8C"/>
          <w:spacing w:val="8"/>
          <w:sz w:val="23"/>
          <w:szCs w:val="23"/>
        </w:rPr>
        <w:t>发表于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收录于合集</w:t>
      </w:r>
    </w:p>
    <w:p>
      <w:pPr>
        <w:shd w:val="clear" w:color="auto" w:fill="FFFFFF"/>
        <w:spacing w:before="0" w:after="0" w:line="384" w:lineRule="atLeast"/>
        <w:ind w:left="240" w:right="24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2857899" cy="2857899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84437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57899" cy="285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150" w:line="384" w:lineRule="atLeast"/>
        <w:ind w:left="390" w:right="240"/>
        <w:jc w:val="both"/>
        <w:rPr>
          <w:rStyle w:val="richmediacontentany"/>
          <w:rFonts w:ascii="Microsoft YaHei UI" w:eastAsia="Microsoft YaHei UI" w:hAnsi="Microsoft YaHei UI" w:cs="Microsoft YaHei UI"/>
          <w:color w:val="5F9CEF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5F9CEF"/>
          <w:spacing w:val="8"/>
        </w:rPr>
        <w:t>点击蓝字关注我们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20" w:after="120" w:line="57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36"/>
          <w:szCs w:val="3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36"/>
          <w:szCs w:val="36"/>
          <w:u w:val="none"/>
        </w:rPr>
        <w:drawing>
          <wp:inline>
            <wp:extent cx="5486400" cy="1406769"/>
            <wp:docPr id="10000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47141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06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20" w:after="120" w:line="384" w:lineRule="atLeast"/>
        <w:ind w:left="420" w:right="420"/>
        <w:jc w:val="right"/>
        <w:rPr>
          <w:rStyle w:val="richmediacontentany"/>
          <w:rFonts w:ascii="Microsoft YaHei UI" w:eastAsia="Microsoft YaHei UI" w:hAnsi="Microsoft YaHei UI" w:cs="Microsoft YaHei UI"/>
          <w:color w:val="5F9CEF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5F9CEF"/>
          <w:spacing w:val="8"/>
        </w:rPr>
        <w:t>特约作者：周春玲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150" w:line="384" w:lineRule="atLeast"/>
        <w:ind w:left="420" w:right="420"/>
        <w:jc w:val="both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hd w:val="clear" w:color="auto" w:fill="EFEFEF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07AAA"/>
          <w:spacing w:val="8"/>
          <w:shd w:val="clear" w:color="auto" w:fill="EFEFEF"/>
        </w:rPr>
        <w:t>简思智库有话说：</w:t>
      </w:r>
    </w:p>
    <w:p>
      <w:pPr>
        <w:shd w:val="clear" w:color="auto" w:fill="FFFFFF"/>
        <w:spacing w:before="0" w:after="150" w:line="384" w:lineRule="atLeast"/>
        <w:ind w:left="420" w:right="420"/>
        <w:jc w:val="both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hd w:val="clear" w:color="auto" w:fill="EFEFEF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hd w:val="clear" w:color="auto" w:fill="EFEFEF"/>
        </w:rPr>
        <w:t>香港必须坚持“动态清零”，最重要的信念是我们离不开内地的经济支撑，这是香港发展的动力来源。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>经过三个月的苦战，香港疫情终出现每日下降态势，但死亡率依然下降较慢，累计已经7039例，死亡率为0.63%，占感染率6.0%，比率与西方国家接近。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5486400" cy="3876040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4068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7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em"/>
          <w:rFonts w:ascii="Microsoft YaHei UI" w:eastAsia="Microsoft YaHei UI" w:hAnsi="Microsoft YaHei UI" w:cs="Microsoft YaHei UI"/>
          <w:color w:val="888888"/>
          <w:spacing w:val="8"/>
          <w:sz w:val="21"/>
          <w:szCs w:val="21"/>
        </w:rPr>
        <w:t>新感染人数逐日下降 图源：香港特区政府网站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</w:rPr>
        <w:t>香港的抗疫成绩表已经一目了然，比上不足，比下有余。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>与内地和台湾比明显不足，即使与表面抗疫策略相似的新加坡比，也拉开了差距。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>若与韩国、日本的抗疫差生比，尚且还有一丝安慰。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5F9CEF"/>
        <w:spacing w:before="0" w:after="120" w:line="480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FFFFFF"/>
          <w:spacing w:val="8"/>
        </w:rPr>
      </w:pPr>
      <w:r>
        <w:rPr>
          <w:rFonts w:ascii="Microsoft YaHei UI" w:eastAsia="Microsoft YaHei UI" w:hAnsi="Microsoft YaHei UI" w:cs="Microsoft YaHei UI"/>
          <w:color w:val="FFFFFF"/>
          <w:spacing w:val="8"/>
        </w:rPr>
        <w:t>1</w:t>
      </w:r>
    </w:p>
    <w:p>
      <w:pPr>
        <w:shd w:val="clear" w:color="auto" w:fill="FFFFFF"/>
        <w:spacing w:before="0" w:after="240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951328" cy="951855"/>
            <wp:docPr id="10000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00653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51328" cy="95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240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951328" cy="951855"/>
            <wp:docPr id="10000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83897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51328" cy="95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120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951328" cy="951855"/>
            <wp:docPr id="10000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64136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51328" cy="95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>上周，特区政府宣布将适度放宽社交限制，暂缓全民检测，撤销英、美等九个国家“禁飞令”，缩短抵港香港居民在酒店检疫日数至最少七天。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>港大医学院长梁卓伟提出本港应尽快讨论未来应对疫情路向，包括是继续“动态清零”或是“走向风土病”。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>特首回应称，“现在不是两条路线之争”；行会召集人更指，海外不少国家已取消检疫安排，过去数月很多主要从事亚太区业务的跨国企业已搬离香港，迁至杜拜、新加坡等地。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br/>
      </w:r>
      <w:r>
        <w:rPr>
          <w:rFonts w:ascii="Microsoft YaHei UI" w:eastAsia="Microsoft YaHei UI" w:hAnsi="Microsoft YaHei UI" w:cs="Microsoft YaHei UI"/>
          <w:color w:val="333333"/>
          <w:spacing w:val="8"/>
        </w:rPr>
        <w:t>似乎放弃“清零”有现实需要。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07AAA"/>
          <w:spacing w:val="8"/>
          <w:sz w:val="26"/>
          <w:szCs w:val="26"/>
        </w:rPr>
        <w:t>“动态清零”与“走向风土病”是否“两条路线之争”，这是很值得讨论的。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>我想起，一百多年前，李大钊先生与胡适辩论指出“主义”与“问题”，有不能分离的关系。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5486400" cy="4573218"/>
            <wp:docPr id="10000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36577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573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楷体_GB2312" w:eastAsia="楷体_GB2312" w:hAnsi="楷体_GB2312" w:cs="楷体_GB2312"/>
          <w:i/>
          <w:iCs/>
          <w:color w:val="888888"/>
          <w:spacing w:val="8"/>
          <w:sz w:val="21"/>
          <w:szCs w:val="21"/>
        </w:rPr>
        <w:t>1920年3月14日胡适（右二）与李大钊（右一），蔡元培（左二）等人在北京西山卧佛寺合影。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07AAA"/>
          <w:spacing w:val="8"/>
        </w:rPr>
        <w:t>大凡一个主义，都有理想与实用两面。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>一个社会问题的解决，必须靠着社会上多数人共同的运动。我们要想解决一个问题，应该设法使他成为社会上多数人共同的问题。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>显然，我们讨论抗疫策略，既有“主义”之争，也应以“问题”导向，寻找解决的共识和办法。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>“动态清零”与“走向风土病”，无论在西方国家还是内地，都视作是不同抗疫策略，有些海外舆论更视作是东西方国家的制度之争。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>香港的抗疫策略很难回避“清零”还是“共存”的现实问题，选择前者，是与内地通关为目标；选择后者，则是与西方国家同步开放。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07AAA"/>
          <w:spacing w:val="8"/>
        </w:rPr>
        <w:t>香港不可能成为孤岛，只是大门先向谁开？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5486400" cy="3042920"/>
            <wp:docPr id="10000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86800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4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em"/>
          <w:rFonts w:ascii="Microsoft YaHei UI" w:eastAsia="Microsoft YaHei UI" w:hAnsi="Microsoft YaHei UI" w:cs="Microsoft YaHei UI"/>
          <w:color w:val="888888"/>
          <w:spacing w:val="8"/>
          <w:sz w:val="21"/>
          <w:szCs w:val="21"/>
        </w:rPr>
        <w:t>香港特区财政司司长陈茂波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>财政司司长陈茂波坚持“动态清零”，是把主义与“问题”结合起来。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>他指自疫情两年前发生后，政府总共动用的资金是6000多亿元，是一个很大的数，占香港生产总值超过20%，强调非常时期用非常的手段，无可厚非。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>今年经济增长预计是2%至3.5%，未来几年的经济增长目标放在3%，如果不能成功遏制疫情、达不到“动态清零”及保持平衡，就难以跟内地恢复通关，对香港经济影响更大。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>对于外资担心疫情影响营商环境，陈茂波表示外商到港做生意，除了香港，更重要是内地市场，尤其是大湾区市场，如果香港管控好疫情，实现“动态清零”，跟内地通关，外商就可走进整个内地市场，这才是吸引力之处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>此番话，指出了香港为什么要“清零”的关键点。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5F9CEF"/>
        <w:spacing w:before="120" w:after="0" w:line="480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FFFFFF"/>
          <w:spacing w:val="8"/>
        </w:rPr>
      </w:pPr>
      <w:r>
        <w:rPr>
          <w:rFonts w:ascii="Microsoft YaHei UI" w:eastAsia="Microsoft YaHei UI" w:hAnsi="Microsoft YaHei UI" w:cs="Microsoft YaHei UI"/>
          <w:color w:val="FFFFFF"/>
          <w:spacing w:val="8"/>
        </w:rPr>
        <w:t>2</w:t>
      </w:r>
    </w:p>
    <w:p>
      <w:pPr>
        <w:shd w:val="clear" w:color="auto" w:fill="FFFFFF"/>
        <w:spacing w:before="0" w:after="240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951328" cy="951855"/>
            <wp:docPr id="10000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79809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51328" cy="95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240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951328" cy="951855"/>
            <wp:docPr id="10001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11776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51328" cy="95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120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951328" cy="951855"/>
            <wp:docPr id="10001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8068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51328" cy="95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>我们暂且放下“主义”之争，反观新加坡是如何选择与“病毒共存”的。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5486400" cy="3733800"/>
            <wp:docPr id="10001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85945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em"/>
          <w:rFonts w:ascii="Microsoft YaHei UI" w:eastAsia="Microsoft YaHei UI" w:hAnsi="Microsoft YaHei UI" w:cs="Microsoft YaHei UI"/>
          <w:color w:val="888888"/>
          <w:spacing w:val="8"/>
          <w:sz w:val="21"/>
          <w:szCs w:val="21"/>
        </w:rPr>
        <w:t>新加坡抗疫防护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07AAA"/>
          <w:spacing w:val="8"/>
        </w:rPr>
        <w:t>首先，新加坡走的是严谨的“共存”之路，他们一直小心翼翼，分三阶段摸索而行：</w:t>
      </w:r>
    </w:p>
    <w:p>
      <w:pPr>
        <w:pStyle w:val="richmediacontentp"/>
        <w:numPr>
          <w:ilvl w:val="0"/>
          <w:numId w:val="1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528" w:right="240" w:hanging="210"/>
        <w:jc w:val="both"/>
        <w:rPr>
          <w:rFonts w:ascii="Microsoft YaHei UI" w:eastAsia="Microsoft YaHei UI" w:hAnsi="Microsoft YaHei UI" w:cs="Microsoft YaHei UI"/>
          <w:b/>
          <w:bCs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</w:rPr>
        <w:t>第一阶段因为疫苗、有效药还未问世，该国采取了果断的封城做法，坚持病例清零；</w:t>
      </w:r>
    </w:p>
    <w:p>
      <w:pPr>
        <w:pStyle w:val="richmediacontentp"/>
        <w:numPr>
          <w:ilvl w:val="0"/>
          <w:numId w:val="1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528" w:right="240" w:hanging="210"/>
        <w:jc w:val="both"/>
        <w:rPr>
          <w:rFonts w:ascii="Microsoft YaHei UI" w:eastAsia="Microsoft YaHei UI" w:hAnsi="Microsoft YaHei UI" w:cs="Microsoft YaHei UI"/>
          <w:b/>
          <w:bCs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</w:rPr>
        <w:t>第二阶段是新冠疫苗研发成功，新加坡是全世界最早积极开展全民疫苗接种的国家之一。到2022年3月，人口中两剂疫苗接种率超过92%，接种第三剂的达71%，其中60岁以上老人完成两剂比例高达95%。 这也为新加坡从“清零”转向“共存”奠定了坚实基础。</w:t>
      </w:r>
    </w:p>
    <w:p>
      <w:pPr>
        <w:pStyle w:val="richmediacontentp"/>
        <w:numPr>
          <w:ilvl w:val="0"/>
          <w:numId w:val="1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528" w:right="240" w:hanging="210"/>
        <w:jc w:val="both"/>
        <w:rPr>
          <w:rFonts w:ascii="Microsoft YaHei UI" w:eastAsia="Microsoft YaHei UI" w:hAnsi="Microsoft YaHei UI" w:cs="Microsoft YaHei UI"/>
          <w:b/>
          <w:bCs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</w:rPr>
        <w:t>第三阶段是新加坡为全世界最早引入抗原快速检测的国家之一，民众可以在市面上自行购买抗原快速检测套盒在家检测，使医院实现分类、分层治疗，较早开启了轻症在家隔离模式，有效阻断病毒扩散，减轻医疗负担和社会成本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>这三个阶段是新加坡对自身抗疫策略不断调整，有了这样的基础，才有今天“共存”的条件，与西方国家因“抗疫失败”而“共存”，是本质上的不同。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07AAA"/>
          <w:spacing w:val="8"/>
        </w:rPr>
        <w:t>其次，新加坡政府组织力强、行事有度、谷针有成，这是该国最终能杀出一条血路的关键。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>该国紧盯重症死亡的防治，虽然近期单日新增感染人数与香港相近，同为万多人，可是每百万人死亡率约为200人，仅及香港的四分之一，最近每日平均只有10人左右染疫亡，数字更是香港的二十分之一。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>可见，新加坡的“共存”并非“躺平”，而是精准、有效，与内地专家梁万年来港提出“三减”方案，同出一辙。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07AAA"/>
          <w:spacing w:val="8"/>
        </w:rPr>
        <w:t>第三，新加坡以世界经济体系为自身的生存发展保障。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>作为外向型经济体，封闭一年后其GDP下滑 5.4%，严重打击该国的金融和贸易，迫使他们必须紧贴欧美开放步伐。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>新加坡不如香港有强大的内地作靠山，在世界经济衰退的大环境下，产业链、销售链一旦中断，其经济上的孤立无援，可想而知。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>两地比较，香港和新加坡在世界经济体系中的位置不同，背后的支撑力量也不同，而该国的“共存”策略是分阶段实现的。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>香港必须坚持“动态清零”，最重要的信念是我们离不开内地的经济支撑，这是香港发展的动力来源。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>谈“主义”、谈“问题”太学术，现在最需要想清楚的是，香港要怎样的疫后重生，而不是“溜西瓜皮”走哪算哪，更不要将一堆烂摊子移交下届政府。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/>
        <w:ind w:left="390" w:right="39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270" w:lineRule="atLeast"/>
        <w:ind w:left="390" w:right="54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18"/>
          <w:szCs w:val="18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  <w:sz w:val="18"/>
          <w:szCs w:val="18"/>
        </w:rPr>
        <w:t>不念过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  <w:sz w:val="18"/>
          <w:szCs w:val="18"/>
        </w:rPr>
        <w:t>去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50" w:lineRule="atLeast"/>
        <w:ind w:left="390" w:right="390"/>
        <w:jc w:val="center"/>
        <w:rPr>
          <w:rStyle w:val="richmediacontentany"/>
          <w:rFonts w:ascii="Microsoft YaHei UI" w:eastAsia="Microsoft YaHei UI" w:hAnsi="Microsoft YaHei UI" w:cs="Microsoft YaHei UI"/>
          <w:color w:val="0F4C81"/>
          <w:spacing w:val="8"/>
          <w:sz w:val="30"/>
          <w:szCs w:val="30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F4C81"/>
          <w:spacing w:val="8"/>
          <w:sz w:val="30"/>
          <w:szCs w:val="30"/>
        </w:rPr>
        <w:t>END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270" w:lineRule="atLeast"/>
        <w:ind w:left="540" w:right="39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18"/>
          <w:szCs w:val="18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  <w:sz w:val="18"/>
          <w:szCs w:val="18"/>
        </w:rPr>
        <w:t>不畏将来</w:t>
      </w:r>
    </w:p>
    <w:p>
      <w:pPr>
        <w:shd w:val="clear" w:color="auto" w:fill="FFFFFF"/>
        <w:spacing w:before="0" w:after="150"/>
        <w:ind w:left="390" w:right="39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5486400" cy="171450"/>
            <wp:docPr id="10001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90097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em"/>
          <w:rFonts w:ascii="Microsoft YaHei UI" w:eastAsia="Microsoft YaHei UI" w:hAnsi="Microsoft YaHei UI" w:cs="Microsoft YaHei UI"/>
          <w:color w:val="888888"/>
          <w:spacing w:val="8"/>
          <w:sz w:val="21"/>
          <w:szCs w:val="21"/>
        </w:rPr>
        <w:t>周春玲，全国政协委员，香港高升基金董事。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225" w:after="225" w:line="240" w:lineRule="atLeast"/>
        <w:ind w:left="390" w:right="390"/>
        <w:jc w:val="center"/>
        <w:rPr>
          <w:rStyle w:val="richmediacontentany"/>
          <w:rFonts w:ascii="Microsoft YaHei UI" w:eastAsia="Microsoft YaHei UI" w:hAnsi="Microsoft YaHei UI" w:cs="Microsoft YaHei UI"/>
          <w:color w:val="AA2611"/>
          <w:spacing w:val="30"/>
        </w:rPr>
      </w:pPr>
      <w:r>
        <w:rPr>
          <w:rStyle w:val="richmediacontentem"/>
          <w:rFonts w:ascii="Microsoft YaHei UI" w:eastAsia="Microsoft YaHei UI" w:hAnsi="Microsoft YaHei UI" w:cs="Microsoft YaHei UI"/>
          <w:color w:val="AA2611"/>
          <w:spacing w:val="30"/>
        </w:rPr>
        <w:t>欢迎您投稿</w:t>
      </w:r>
      <w:r>
        <w:rPr>
          <w:rStyle w:val="richmediacontentem"/>
          <w:rFonts w:ascii="Microsoft YaHei UI" w:eastAsia="Microsoft YaHei UI" w:hAnsi="Microsoft YaHei UI" w:cs="Microsoft YaHei UI"/>
          <w:color w:val="AA2611"/>
          <w:spacing w:val="30"/>
        </w:rPr>
        <w:t>原创文章</w:t>
      </w:r>
      <w:r>
        <w:rPr>
          <w:rStyle w:val="richmediacontentem"/>
          <w:rFonts w:ascii="Microsoft YaHei UI" w:eastAsia="Microsoft YaHei UI" w:hAnsi="Microsoft YaHei UI" w:cs="Microsoft YaHei UI"/>
          <w:color w:val="AA2611"/>
          <w:spacing w:val="30"/>
        </w:rPr>
        <w:t>到简思智库，让您的声音被更多人听到</w:t>
      </w:r>
    </w:p>
    <w:p>
      <w:pPr>
        <w:shd w:val="clear" w:color="auto" w:fill="FFFFFF"/>
        <w:spacing w:before="0" w:after="105" w:line="336" w:lineRule="atLeast"/>
        <w:ind w:left="390" w:right="39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1"/>
          <w:szCs w:val="21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8"/>
          <w:sz w:val="21"/>
          <w:szCs w:val="21"/>
          <w:u w:val="none"/>
        </w:rPr>
        <w:drawing>
          <wp:inline>
            <wp:extent cx="951328" cy="951855"/>
            <wp:docPr id="10001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37856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51328" cy="95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150" w:line="216" w:lineRule="atLeast"/>
        <w:ind w:left="390" w:right="390"/>
        <w:jc w:val="both"/>
        <w:rPr>
          <w:rStyle w:val="richmediacontentany"/>
          <w:rFonts w:ascii="Microsoft YaHei UI" w:eastAsia="Microsoft YaHei UI" w:hAnsi="Microsoft YaHei UI" w:cs="Microsoft YaHei UI"/>
          <w:color w:val="7E7B7A"/>
          <w:spacing w:val="15"/>
          <w:sz w:val="18"/>
          <w:szCs w:val="18"/>
        </w:rPr>
      </w:pPr>
      <w:r>
        <w:rPr>
          <w:rStyle w:val="richmediacontentany"/>
          <w:rFonts w:ascii="Microsoft YaHei UI" w:eastAsia="Microsoft YaHei UI" w:hAnsi="Microsoft YaHei UI" w:cs="Microsoft YaHei UI"/>
          <w:color w:val="7E7B7A"/>
          <w:spacing w:val="15"/>
          <w:sz w:val="18"/>
          <w:szCs w:val="18"/>
        </w:rPr>
        <w:t>请长按下方二维码添加简思智库工作微信投稿。（或搜索添加微信ID：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07AAA"/>
          <w:spacing w:val="15"/>
          <w:sz w:val="18"/>
          <w:szCs w:val="18"/>
        </w:rPr>
        <w:t>GTT_CN</w:t>
      </w:r>
      <w:r>
        <w:rPr>
          <w:rStyle w:val="richmediacontentany"/>
          <w:rFonts w:ascii="Microsoft YaHei UI" w:eastAsia="Microsoft YaHei UI" w:hAnsi="Microsoft YaHei UI" w:cs="Microsoft YaHei UI"/>
          <w:color w:val="7E7B7A"/>
          <w:spacing w:val="15"/>
          <w:sz w:val="18"/>
          <w:szCs w:val="18"/>
        </w:rPr>
        <w:t>）</w:t>
      </w:r>
    </w:p>
    <w:p>
      <w:pPr>
        <w:shd w:val="clear" w:color="auto" w:fill="A0A0A0"/>
        <w:spacing w:before="0" w:after="300" w:line="336" w:lineRule="atLeast"/>
        <w:ind w:left="390" w:right="39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1"/>
          <w:szCs w:val="21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8"/>
          <w:sz w:val="21"/>
          <w:szCs w:val="21"/>
          <w:u w:val="none"/>
        </w:rPr>
        <w:drawing>
          <wp:inline>
            <wp:extent cx="951328" cy="951855"/>
            <wp:docPr id="10001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4275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51328" cy="95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300" w:line="336" w:lineRule="atLeast"/>
        <w:ind w:left="390" w:right="39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1"/>
          <w:szCs w:val="21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8"/>
          <w:sz w:val="21"/>
          <w:szCs w:val="21"/>
          <w:u w:val="none"/>
        </w:rPr>
        <w:drawing>
          <wp:inline>
            <wp:extent cx="4095750" cy="4095750"/>
            <wp:docPr id="10001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90840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A0A0A0"/>
        <w:spacing w:before="0" w:after="300" w:line="336" w:lineRule="atLeast"/>
        <w:ind w:left="390" w:right="39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1"/>
          <w:szCs w:val="21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8"/>
          <w:sz w:val="21"/>
          <w:szCs w:val="21"/>
          <w:u w:val="none"/>
        </w:rPr>
        <w:drawing>
          <wp:inline>
            <wp:extent cx="951328" cy="951855"/>
            <wp:docPr id="10001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29241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51328" cy="95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809738" cy="1267002"/>
            <wp:docPr id="10001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67803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09738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390" w:right="390"/>
        <w:jc w:val="center"/>
        <w:rPr>
          <w:rStyle w:val="richmediacontentany"/>
          <w:rFonts w:ascii="Microsoft YaHei UI" w:eastAsia="Microsoft YaHei UI" w:hAnsi="Microsoft YaHei UI" w:cs="Microsoft YaHei UI"/>
          <w:color w:val="293239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293239"/>
          <w:spacing w:val="8"/>
        </w:rPr>
        <w:t>感谢阅读，请关注我们，或点右下角“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052FF"/>
          <w:spacing w:val="8"/>
        </w:rPr>
        <w:t>赞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293239"/>
          <w:spacing w:val="8"/>
        </w:rPr>
        <w:t>”和“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052FF"/>
          <w:spacing w:val="8"/>
        </w:rPr>
        <w:t>在看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293239"/>
          <w:spacing w:val="8"/>
        </w:rPr>
        <w:t>”分享。</w:t>
      </w:r>
    </w:p>
    <w:p>
      <w:pPr>
        <w:shd w:val="clear" w:color="auto" w:fill="FFFFFF"/>
        <w:spacing w:before="0" w:after="150" w:line="384" w:lineRule="atLeast"/>
        <w:ind w:left="240" w:right="24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819264" cy="1200318"/>
            <wp:docPr id="10001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19119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19264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single" w:sz="6" w:space="3" w:color="CCCCCC"/>
          <w:right w:val="none" w:sz="0" w:space="0" w:color="auto"/>
        </w:pBdr>
        <w:shd w:val="clear" w:color="auto" w:fill="FFFFFF"/>
        <w:spacing w:before="390" w:after="390" w:line="384" w:lineRule="atLeast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24"/>
          <w:szCs w:val="24"/>
        </w:rPr>
        <w:t>精选留言</w:t>
      </w:r>
    </w:p>
    <w:p>
      <w:pPr>
        <w:pStyle w:val="any"/>
        <w:shd w:val="clear" w:color="auto" w:fill="FFFFFF"/>
        <w:spacing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用户设置不下载评论 </w:t>
      </w:r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00001"/>
    <w:multiLevelType w:val="hybridMultilevel"/>
    <w:tmpl w:val="00000001"/>
    <w:lvl w:ilvl="0">
      <w:start w:val="1"/>
      <w:numFmt w:val="bullet"/>
      <w:lvlText w:val=""/>
      <w:lvlJc w:val="left"/>
      <w:pPr>
        <w:ind w:left="720" w:hanging="360"/>
      </w:pPr>
      <w:rPr>
        <w:rFonts w:ascii="Wingdings" w:hAnsi="Wingdings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ppmsgskindefaultrichmediaareaprimary">
    <w:name w:val="appmsg_skin_default_rich_media_area_primary"/>
    <w:basedOn w:val="Normal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richmediawrp">
    <w:name w:val="rich_media_wrp"/>
    <w:basedOn w:val="Normal"/>
  </w:style>
  <w:style w:type="paragraph" w:customStyle="1" w:styleId="richmediatitle">
    <w:name w:val="rich_media_title"/>
    <w:basedOn w:val="Normal"/>
    <w:pPr>
      <w:pBdr>
        <w:bottom w:val="single" w:sz="6" w:space="7" w:color="E7E7EB"/>
      </w:pBdr>
      <w:spacing w:line="462" w:lineRule="atLeast"/>
    </w:pPr>
    <w:rPr>
      <w:b w:val="0"/>
      <w:bCs w:val="0"/>
      <w:sz w:val="33"/>
      <w:szCs w:val="33"/>
    </w:rPr>
  </w:style>
  <w:style w:type="paragraph" w:customStyle="1" w:styleId="richmediametalist">
    <w:name w:val="rich_media_meta_list"/>
    <w:basedOn w:val="Normal"/>
    <w:pPr>
      <w:spacing w:line="300" w:lineRule="atLeast"/>
    </w:pPr>
    <w:rPr>
      <w:sz w:val="0"/>
      <w:szCs w:val="0"/>
    </w:rPr>
  </w:style>
  <w:style w:type="character" w:customStyle="1" w:styleId="richmediametaiconappmsgtag">
    <w:name w:val="rich_media_meta_icon_appmsg_tag"/>
    <w:basedOn w:val="DefaultParagraphFont"/>
  </w:style>
  <w:style w:type="character" w:customStyle="1" w:styleId="richmediameta">
    <w:name w:val="rich_media_meta"/>
    <w:basedOn w:val="DefaultParagraphFont"/>
    <w:rPr>
      <w:sz w:val="23"/>
      <w:szCs w:val="23"/>
    </w:rPr>
  </w:style>
  <w:style w:type="character" w:customStyle="1" w:styleId="richmediametalink">
    <w:name w:val="rich_media_meta_link"/>
    <w:basedOn w:val="DefaultParagraphFont"/>
    <w:rPr>
      <w:color w:val="576B95"/>
    </w:rPr>
  </w:style>
  <w:style w:type="character" w:customStyle="1" w:styleId="a">
    <w:name w:val="a"/>
    <w:basedOn w:val="DefaultParagraphFont"/>
    <w:rPr>
      <w:color w:val="576B95"/>
    </w:rPr>
  </w:style>
  <w:style w:type="character" w:customStyle="1" w:styleId="anyCharacter">
    <w:name w:val="any Character"/>
    <w:basedOn w:val="DefaultParagraphFont"/>
  </w:style>
  <w:style w:type="character" w:customStyle="1" w:styleId="richmediametalistem">
    <w:name w:val="rich_media_meta_list_em"/>
    <w:basedOn w:val="DefaultParagraphFont"/>
    <w:rPr>
      <w:i w:val="0"/>
      <w:iCs w:val="0"/>
    </w:rPr>
  </w:style>
  <w:style w:type="paragraph" w:customStyle="1" w:styleId="richmediacontent">
    <w:name w:val="rich_media_content"/>
    <w:basedOn w:val="Normal"/>
    <w:pPr>
      <w:jc w:val="both"/>
    </w:pPr>
    <w:rPr>
      <w:color w:val="333333"/>
      <w:sz w:val="26"/>
      <w:szCs w:val="26"/>
    </w:rPr>
  </w:style>
  <w:style w:type="character" w:customStyle="1" w:styleId="richmediacontentany">
    <w:name w:val="rich_media_content_any"/>
    <w:basedOn w:val="DefaultParagraphFont"/>
  </w:style>
  <w:style w:type="paragraph" w:customStyle="1" w:styleId="richmediacontentp">
    <w:name w:val="rich_media_content_p"/>
    <w:basedOn w:val="Normal"/>
  </w:style>
  <w:style w:type="character" w:customStyle="1" w:styleId="richmediacontentem">
    <w:name w:val="rich_media_content_em"/>
    <w:basedOn w:val="DefaultParagraphFont"/>
    <w:rPr>
      <w:i/>
      <w:iCs/>
    </w:rPr>
  </w:style>
  <w:style w:type="paragraph" w:customStyle="1" w:styleId="richmediacontentanyParagraph">
    <w:name w:val="rich_media_content_any Paragraph"/>
    <w:basedOn w:val="Normal"/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5.jpeg" /><Relationship Id="rId11" Type="http://schemas.openxmlformats.org/officeDocument/2006/relationships/image" Target="media/image6.png" /><Relationship Id="rId12" Type="http://schemas.openxmlformats.org/officeDocument/2006/relationships/image" Target="media/image7.png" /><Relationship Id="rId13" Type="http://schemas.openxmlformats.org/officeDocument/2006/relationships/image" Target="media/image8.png" /><Relationship Id="rId14" Type="http://schemas.openxmlformats.org/officeDocument/2006/relationships/image" Target="media/image9.jpeg" /><Relationship Id="rId15" Type="http://schemas.openxmlformats.org/officeDocument/2006/relationships/image" Target="media/image10.png" /><Relationship Id="rId16" Type="http://schemas.openxmlformats.org/officeDocument/2006/relationships/image" Target="media/image11.png" /><Relationship Id="rId17" Type="http://schemas.openxmlformats.org/officeDocument/2006/relationships/numbering" Target="numbering.xml" /><Relationship Id="rId18" Type="http://schemas.openxmlformats.org/officeDocument/2006/relationships/styles" Target="styles.xml" /><Relationship Id="rId2" Type="http://schemas.openxmlformats.org/officeDocument/2006/relationships/webSettings" Target="webSettings.xml" /><Relationship Id="rId3" Type="http://schemas.openxmlformats.org/officeDocument/2006/relationships/fontTable" Target="fontTable.xml" /><Relationship Id="rId4" Type="http://schemas.openxmlformats.org/officeDocument/2006/relationships/hyperlink" Target="javascript:void(0);" TargetMode="External" /><Relationship Id="rId5" Type="http://schemas.openxmlformats.org/officeDocument/2006/relationships/hyperlink" Target="https://mp.weixin.qq.com/s?__biz=MzUyNzQyMzYwNQ==&amp;mid=2247491189&amp;idx=1&amp;sn=f72015de8caefc4d64d2486dbc2436d5&amp;chksm=fa7e9f6fcd0916796fae96b03d071f9187f4d236622d1f2ab4bb77f9d27e79882aa0bde3a6a6&amp;scene=27" TargetMode="External" /><Relationship Id="rId6" Type="http://schemas.openxmlformats.org/officeDocument/2006/relationships/image" Target="media/image1.png" /><Relationship Id="rId7" Type="http://schemas.openxmlformats.org/officeDocument/2006/relationships/image" Target="media/image2.jpeg" /><Relationship Id="rId8" Type="http://schemas.openxmlformats.org/officeDocument/2006/relationships/image" Target="media/image3.png" /><Relationship Id="rId9" Type="http://schemas.openxmlformats.org/officeDocument/2006/relationships/image" Target="media/image4.emf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“清零”、“共存”既是主义之争，也是问题之争</dc:title>
  <cp:revision>1</cp:revision>
</cp:coreProperties>
</file>