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“港獨”的升沉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2023-02-15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02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1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有些調研一開始的方向錯了，整體也就失去了意義，中央的底線是不可觸碰的。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支持“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 獨立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”和國民身份認同是關連性相當高的議題，所以過去在背後大力支持港獨的人士，他們都會用盡心思，去推動，又或者製造一個「香港人對國家身份認同低」的表象。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所用的方法，林林總總，各式各樣，總而言之，就是令到一般人覺得，非常多的香港人不認同自己是中國人，這是大勢所趨，人多勢眾，這樣他們的「獨計」就成功了一半。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引述了幾個相關的民調，也指出過去一些對國民身份認同民意調查的謬誤，而在港區國安法頒布和實施之後，香港人對國民身份認同有相當程度的上升，對港獨的支持度大幅下跌，這都說明港區國安法的效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這個效力，主要不是直接針對一般香港市民，而是著力打擊在後面推動分裂的政治力量。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這政治力量通過有效的媒體宣傳，去削弱香港人，尤其是年青一代對國家以致整個中華民族的認同。簡而言之，就是「洗腦」。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台灣的所謂「天然獨」，就是對年青人進行日積月累、無孔不入的洗腦結果，當台獨政黨成功進行洗腦之後，就把責任往「上天」一推，說這是「自然力量」所致，與他們無關。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香港，情況也是差不多，這股政治力量有整套港獨的論述和策略。港區國安法的主要打擊對象，其實就是這股在背後推動的力量。一旦消滅這股力量，從民調數字顯示，情況是有所改善，但未能算得到圓滿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以民調結果去分析，我們必須要理解到支持“香港 獨立”是一個非常嚴肅的問題，所以對其結果，我們必須有一個非常高的標準。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回顧過去長時間的調查結果，最嚴重的情況是在2020年初，那時經歷了社會嚴重的騷亂，以及區議會選舉的政治動員，贊成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獨立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的比率高達19.2%，這是我們對港獨做追蹤調查的最高點。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港大民意研究計劃在2005年曾經做過接近的調查，他們連續三年發表相關的結果，那時支持獨的比率其實更高，但當年鍾庭耀所問的問題有點特別，其原文如下：「如果中國政府允許香港巿民自由選擇香港的前途，你認為香港應該獨立嗎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這樣的提問，是有非常嚴重的引導性，那就是北京中央政府已經對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獨立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問題開了綠燈。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個人的判斷，這個對北京中央政府所作的假設性前提，真正出現的機會是「零」。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在這個不可能出現的前提引導下，支持獨的比例會相當程度上被誇大，當然，回應港大提問的市民也會有自己的判斷，他們也會衡量一下北京中央政府的取態然後回答。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但無論如何，這種問法的結果，可以演繹為中央政府已經同意，大約有多少香港人會選擇如此。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鍾庭耀的結果，由2005年三年下來，分別是22%、25.3%和25%。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令人思之再三的是，中央政府在2005年讓董先生辭去行政長官一職，支持的比例在2006 年反而升了3.3個百分點子，而認為香港不應該獨立的比率，在2007年比2005年也下跌了3.6個百分點子到64.7%，這種變化背後的含義，值得我們深思。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如果按照我們正常提問，不作任何引導或提示，2020年3 月有19.2%的香港人贊成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獨立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，這是已經去到非常危險的地步。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因為獨立不是一般性的政策取向，而是對國家的基本認同，是重中之重，超過百分之十的人口支持獨立，已經會構成嚴重政治危機。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最新的調查，不同程度贊成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獨立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的比率已經下降到7.5%，比高峰時下跌了近12個百分點，比率上下降了大約六成，但仍然存在兩個大問題。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第一，以客觀標準而言，7.5%的香港人贊成獨立仍然是偏高，以實際人數而言，這已經是代表了45萬人，這明顯不是一個小數目。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第二，不贊成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獨立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的有77.1%，這其實只是回到2016年初的水平，餘下有15%受訪者，並沒有明確表態。他們對這「大是大非」的問題不肯表態，其內心的取向，也同樣值得我們深思。</w:t>
      </w:r>
    </w:p>
    <w:tbl>
      <w:tblPr>
        <w:tblStyle w:val="richmediacontentanyTable"/>
        <w:tblW w:w="6195" w:type="dxa"/>
        <w:tblCellSpacing w:w="0" w:type="dxa"/>
        <w:tblInd w:w="268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232"/>
        <w:gridCol w:w="1057"/>
        <w:gridCol w:w="1057"/>
        <w:gridCol w:w="1057"/>
      </w:tblGrid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840"/>
          <w:tblCellSpacing w:w="0" w:type="dxa"/>
        </w:trPr>
        <w:tc>
          <w:tcPr>
            <w:tcW w:w="6251" w:type="dxa"/>
            <w:gridSpan w:val="4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Q.(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香港例</w:t>
            </w:r>
            <w:r>
              <w:rPr>
                <w:rStyle w:val="richmediacontentany"/>
                <w:color w:val="000000"/>
                <w:spacing w:val="8"/>
              </w:rPr>
              <w:t>)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：如果中國政府允許香港巿民自由選擇香港的前途，你認為香港應該獨立嗎？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341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spacing w:line="384" w:lineRule="atLeast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</w:p>
        </w:tc>
        <w:tc>
          <w:tcPr>
            <w:tcW w:w="2891" w:type="dxa"/>
            <w:gridSpan w:val="3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香港</w:t>
            </w:r>
            <w:r>
              <w:rPr>
                <w:rStyle w:val="richmediacontentany"/>
                <w:color w:val="000000"/>
                <w:spacing w:val="8"/>
              </w:rPr>
              <w:t> 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15"/>
          <w:tblCellSpacing w:w="0" w:type="dxa"/>
        </w:trPr>
        <w:tc>
          <w:tcPr>
            <w:tcW w:w="341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spacing w:line="384" w:lineRule="atLeast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 2005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2006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2007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341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應該獨立</w:t>
            </w:r>
            <w:r>
              <w:rPr>
                <w:rStyle w:val="richmediacontentany"/>
                <w:color w:val="000000"/>
                <w:spacing w:val="8"/>
              </w:rPr>
              <w:t> 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22.0%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25.3%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25.0%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341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不應該獨立</w:t>
            </w:r>
            <w:r>
              <w:rPr>
                <w:rStyle w:val="richmediacontentany"/>
                <w:color w:val="000000"/>
                <w:spacing w:val="8"/>
              </w:rPr>
              <w:t> 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68.3%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69.0%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64.7%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341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由當地居民自己決定</w:t>
            </w:r>
            <w:r>
              <w:rPr>
                <w:rStyle w:val="richmediacontentany"/>
                <w:color w:val="000000"/>
                <w:spacing w:val="8"/>
              </w:rPr>
              <w:t> 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3.9%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1.2%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4.6%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341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其他</w:t>
            </w:r>
            <w:r>
              <w:rPr>
                <w:rStyle w:val="richmediacontentany"/>
                <w:color w:val="000000"/>
                <w:spacing w:val="8"/>
              </w:rPr>
              <w:t> 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5.8%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4.4%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5.7%</w:t>
            </w:r>
          </w:p>
        </w:tc>
      </w:tr>
      <w:tr>
        <w:tblPrEx>
          <w:tblW w:w="6195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4361" w:type="dxa"/>
            <w:gridSpan w:val="2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資料來源：香港大學民意研究計劃網站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spacing w:line="384" w:lineRule="atLeast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spacing w:line="384" w:lineRule="atLeast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</w:p>
        </w:tc>
      </w:tr>
    </w:tbl>
    <w:p>
      <w:pPr>
        <w:rPr>
          <w:vanish/>
        </w:rPr>
      </w:pPr>
    </w:p>
    <w:tbl>
      <w:tblPr>
        <w:tblStyle w:val="richmediacontentanyTable"/>
        <w:tblW w:w="6480" w:type="dxa"/>
        <w:tblCellSpacing w:w="0" w:type="dxa"/>
        <w:tblInd w:w="268" w:type="dxa"/>
        <w:shd w:val="clear" w:color="auto" w:fill="FFFFFF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451"/>
        <w:gridCol w:w="974"/>
        <w:gridCol w:w="726"/>
        <w:gridCol w:w="655"/>
        <w:gridCol w:w="842"/>
        <w:gridCol w:w="1106"/>
        <w:gridCol w:w="726"/>
      </w:tblGrid>
      <w:tr>
        <w:tblPrEx>
          <w:tblW w:w="6480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915"/>
          <w:tblCellSpacing w:w="0" w:type="dxa"/>
        </w:trPr>
        <w:tc>
          <w:tcPr>
            <w:tcW w:w="6536" w:type="dxa"/>
            <w:gridSpan w:val="7"/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Q.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有人提出要爭取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“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香港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獨立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”</w:t>
            </w:r>
            <w:r>
              <w:rPr>
                <w:rStyle w:val="richmediacontentany"/>
                <w:color w:val="000000"/>
                <w:spacing w:val="8"/>
              </w:rPr>
              <w:t>,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你贊唔贊成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“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香港 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獨立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”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？係非常贊成、贊成、不贊成</w:t>
            </w:r>
            <w:r>
              <w:rPr>
                <w:rStyle w:val="richmediacontentany"/>
                <w:color w:val="000000"/>
                <w:spacing w:val="8"/>
              </w:rPr>
              <w:t>,</w:t>
            </w: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定非常不贊成？</w:t>
            </w:r>
          </w:p>
        </w:tc>
      </w:tr>
      <w:tr>
        <w:tblPrEx>
          <w:tblW w:w="6480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30"/>
          <w:tblCellSpacing w:w="0" w:type="dxa"/>
        </w:trPr>
        <w:tc>
          <w:tcPr>
            <w:tcW w:w="154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調查日期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非常贊成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贊成</w:t>
            </w:r>
          </w:p>
        </w:tc>
        <w:tc>
          <w:tcPr>
            <w:tcW w:w="68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FF0000"/>
                <w:spacing w:val="8"/>
              </w:rPr>
              <w:t>小計</w:t>
            </w:r>
          </w:p>
        </w:tc>
        <w:tc>
          <w:tcPr>
            <w:tcW w:w="89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不贊成</w:t>
            </w:r>
          </w:p>
        </w:tc>
        <w:tc>
          <w:tcPr>
            <w:tcW w:w="1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000000"/>
                <w:spacing w:val="8"/>
              </w:rPr>
              <w:t>非常不贊成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rFonts w:ascii="PMingLiU" w:eastAsia="PMingLiU" w:hAnsi="PMingLiU" w:cs="PMingLiU"/>
                <w:color w:val="FF0000"/>
                <w:spacing w:val="8"/>
              </w:rPr>
              <w:t>小計</w:t>
            </w:r>
          </w:p>
        </w:tc>
      </w:tr>
      <w:tr>
        <w:tblPrEx>
          <w:tblW w:w="6480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15"/>
          <w:tblCellSpacing w:w="0" w:type="dxa"/>
        </w:trPr>
        <w:tc>
          <w:tcPr>
            <w:tcW w:w="154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24-29/4/2016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1.5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15.8</w:t>
            </w:r>
          </w:p>
        </w:tc>
        <w:tc>
          <w:tcPr>
            <w:tcW w:w="68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17.3</w:t>
            </w:r>
          </w:p>
        </w:tc>
        <w:tc>
          <w:tcPr>
            <w:tcW w:w="89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39.8</w:t>
            </w:r>
          </w:p>
        </w:tc>
        <w:tc>
          <w:tcPr>
            <w:tcW w:w="1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34.7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74.5</w:t>
            </w:r>
          </w:p>
        </w:tc>
      </w:tr>
      <w:tr>
        <w:tblPrEx>
          <w:tblW w:w="6480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15"/>
          <w:tblCellSpacing w:w="0" w:type="dxa"/>
        </w:trPr>
        <w:tc>
          <w:tcPr>
            <w:tcW w:w="154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3-9/9/2019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0.2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9.1</w:t>
            </w:r>
          </w:p>
        </w:tc>
        <w:tc>
          <w:tcPr>
            <w:tcW w:w="68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9.3</w:t>
            </w:r>
          </w:p>
        </w:tc>
        <w:tc>
          <w:tcPr>
            <w:tcW w:w="89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50.5</w:t>
            </w:r>
          </w:p>
        </w:tc>
        <w:tc>
          <w:tcPr>
            <w:tcW w:w="1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34.6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85.1</w:t>
            </w:r>
          </w:p>
        </w:tc>
      </w:tr>
      <w:tr>
        <w:tblPrEx>
          <w:tblW w:w="6480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15"/>
          <w:tblCellSpacing w:w="0" w:type="dxa"/>
        </w:trPr>
        <w:tc>
          <w:tcPr>
            <w:tcW w:w="154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16-19/3/2020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4.3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15.0</w:t>
            </w:r>
          </w:p>
        </w:tc>
        <w:tc>
          <w:tcPr>
            <w:tcW w:w="68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19.2</w:t>
            </w:r>
          </w:p>
        </w:tc>
        <w:tc>
          <w:tcPr>
            <w:tcW w:w="89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41.2</w:t>
            </w:r>
          </w:p>
        </w:tc>
        <w:tc>
          <w:tcPr>
            <w:tcW w:w="1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333333"/>
                <w:spacing w:val="8"/>
              </w:rPr>
              <w:t>27.8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69.1</w:t>
            </w:r>
          </w:p>
        </w:tc>
      </w:tr>
      <w:tr>
        <w:tblPrEx>
          <w:tblW w:w="6480" w:type="dxa"/>
          <w:tblCellSpacing w:w="0" w:type="dxa"/>
          <w:tblInd w:w="268" w:type="dxa"/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315"/>
          <w:tblCellSpacing w:w="0" w:type="dxa"/>
        </w:trPr>
        <w:tc>
          <w:tcPr>
            <w:tcW w:w="154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both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13-29/12/2022</w:t>
            </w:r>
          </w:p>
        </w:tc>
        <w:tc>
          <w:tcPr>
            <w:tcW w:w="100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1.4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6.1</w:t>
            </w:r>
          </w:p>
        </w:tc>
        <w:tc>
          <w:tcPr>
            <w:tcW w:w="68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7.5</w:t>
            </w:r>
          </w:p>
        </w:tc>
        <w:tc>
          <w:tcPr>
            <w:tcW w:w="89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47.2</w:t>
            </w:r>
          </w:p>
        </w:tc>
        <w:tc>
          <w:tcPr>
            <w:tcW w:w="1106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000000"/>
                <w:spacing w:val="8"/>
              </w:rPr>
              <w:t>29.9</w:t>
            </w:r>
          </w:p>
        </w:tc>
        <w:tc>
          <w:tcPr>
            <w:tcW w:w="791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>
            <w:pPr>
              <w:pStyle w:val="richmediacontent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84" w:lineRule="atLeast"/>
              <w:ind w:left="0" w:right="0"/>
              <w:jc w:val="center"/>
              <w:rPr>
                <w:rFonts w:ascii="Microsoft YaHei UI" w:eastAsia="Microsoft YaHei UI" w:hAnsi="Microsoft YaHei UI" w:cs="Microsoft YaHei UI"/>
                <w:color w:val="333333"/>
                <w:spacing w:val="8"/>
              </w:rPr>
            </w:pPr>
            <w:r>
              <w:rPr>
                <w:rStyle w:val="richmediacontentany"/>
                <w:color w:val="FF0000"/>
                <w:spacing w:val="8"/>
              </w:rPr>
              <w:t>77.1</w:t>
            </w:r>
          </w:p>
        </w:tc>
      </w:tr>
    </w:tbl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2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51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5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0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2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2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5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table" w:customStyle="1" w:styleId="richmediacontentanyTable">
    <w:name w:val="rich_media_content_any 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833&amp;idx=1&amp;sn=9b65357957af53a8b632495b16d2a8a2&amp;chksm=fa7d69d3cd0ae0c5f09a3ecc28a3535bdfb182f6093ede4afe122186163ace987f2b6efec1d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“港獨”的升沉</dc:title>
  <cp:revision>1</cp:revision>
</cp:coreProperties>
</file>