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關注香港財政預算案 （二）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2023-02-20</w:t>
      </w:r>
      <w:hyperlink r:id="rId5" w:anchor="wechat_redirect&amp;cpage=7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83240"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07565"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“國家所需，香港所長”這個發展大方向將在未來很長一段時間里成為香港再騰飛的核心動力源。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746</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朱岩，一國兩制研究中心研究主任。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right"/>
        <w:rPr>
          <w:rFonts w:ascii="Microsoft YaHei UI" w:eastAsia="Microsoft YaHei UI" w:hAnsi="Microsoft YaHei UI" w:cs="Microsoft YaHei UI"/>
          <w:color w:val="333333"/>
          <w:spacing w:val="8"/>
          <w:sz w:val="26"/>
          <w:szCs w:val="26"/>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香港回歸祖國以來，「一國兩制」方針得到全面貫徹，香港背靠祖國，自身的經濟、社會建設取得全面發展。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after="0" w:line="384" w:lineRule="atLeast"/>
        <w:ind w:left="240" w:right="240"/>
        <w:jc w:val="both"/>
        <w:rPr>
          <w:rStyle w:val="richmediacontentany"/>
          <w:rFonts w:ascii="Microsoft YaHei UI" w:eastAsia="Microsoft YaHei UI" w:hAnsi="Microsoft YaHei UI" w:cs="Microsoft YaHei UI"/>
          <w:color w:val="333333"/>
          <w:spacing w:val="0"/>
        </w:rPr>
      </w:pPr>
      <w:r>
        <w:rPr>
          <w:rStyle w:val="richmediacontentany"/>
          <w:rFonts w:ascii="Microsoft YaHei UI" w:eastAsia="Microsoft YaHei UI" w:hAnsi="Microsoft YaHei UI" w:cs="Microsoft YaHei UI"/>
          <w:color w:val="333333"/>
          <w:spacing w:val="0"/>
        </w:rPr>
        <w:t>與此同時，社會各界希望特區政府在編制財政預算案中，能夠著力推動香港融入國家發展大局，積極為國家經濟發展添動能。</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98912"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我認為，</w:t>
      </w:r>
      <w:r>
        <w:rPr>
          <w:rStyle w:val="richmediacontentany"/>
          <w:rFonts w:ascii="Microsoft YaHei UI" w:eastAsia="Microsoft YaHei UI" w:hAnsi="Microsoft YaHei UI" w:cs="Microsoft YaHei UI"/>
          <w:color w:val="333333"/>
          <w:spacing w:val="8"/>
        </w:rPr>
        <w:t>香港在吸引外資、促進中國對外貿易和房地產市場健康發展方面可以發揮如下作用：</w:t>
      </w:r>
    </w:p>
    <w:p>
      <w:pPr>
        <w:shd w:val="clear" w:color="auto" w:fill="FFFFFF"/>
        <w:spacing w:before="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27495"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66540"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65727"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06042"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吸引外資：連結海外資金和內地市場的投資引導者</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香港歷來是內地最大的境外投資來源地。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截至2021年底，內地累計吸收香港投資超1.4萬億美元，占內地吸收外資總量的57.6%。</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這些資金不僅來自香港企業，亦包括諸多海外企業來港設立財務公司，借道香港進入內地投資。</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對於外資而言，香港獨特優勢在於既有資金自由進出、法律和商業制度與國際接軌的環境，又有與內地資金往來和金融市場互聯互通機制的便利。</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也正是基於此，自上世紀八十年代內地改革開放開始，香港一直是外資「走進去」的首選平台。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隨著國家著眼於擴大高水準對外開放，不斷推出積極有效利用外資的重要舉措，香港在發揮傳統投資引導作用的同時，也可以從以下三個方面發揮新作用：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第一，打造縱深龐大且豐富多樣的離岸人民幣生態系統，完善離岸與在岸人民幣市場互動。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在豐富香港離岸人民幣產品的同時，也將為持有離岸人民幣的海外投資者提供更多的投資選擇，減少持有離岸人民幣而沒有好的投資產品的顧慮，進而促進人民幣國際化。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第二，建立面向國際的香港碳交易平台。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香港具有發展碳排放交易市場的優勢，可以與內地合作推動搭建區域碳交易平台，助力國家實現碳中和目標，並雙向連接中國內地與國際碳排放市場和綠色資本。</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第三，在內地資產證券化市場的跨境進程中發揮積極的作用。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內地自2005年推出資產證券化試點以來，資產證券化市場方興未艾。</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香港可以作為內地跨境資產證券化的橋樑，提升境外投資人對整個內地市場的參與度。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76856"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57744"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3937"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3605"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促進對外貿易：聯通國內國際雙循環的重要促進者</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1997年至2021年，內地與香港貿易額由507.7億美元增至3603.3億美元，增長了6.1倍，年均增長8.5%。</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以單個經濟體而論，香港是內地第四大交易夥伴、第二大出口市場。</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中央經濟工作會議提出要繼續發揮出口對經濟的支撐作用，香港作為國內大循環的重要參與者和聯通國內國際雙循環的重要促進者，將繼續從以下三個方面為國家對外貿易做出貢獻。</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第一，積極協助內地提升出口產品品質和對標國際標準。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過去香港參與國內大循環多限於珠三角的出口加工貿易，而隨著傳統模式的衰落，以及內地新的市場機遇的崛起，香港可以發掘內地市場更多產品的潛力。</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內地有很多頗具競爭力的好產品，如紅酒、中藥等，因商家不知曉出口的途徑和方法，只能自產自銷。</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香港可以利用自身對國際出口產品質量標準的經驗積累，幫助內陸省份提升產品品質，實現內外貿產品「同線同標同質」，塑造品牌形象，尋找國際買家和建立國際銷售管道。</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第二，助力國家自由貿易區和海南自由貿易島拓展國際市場商機。</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海南自由貿易港和廣東三大自貿區，南沙、前海蛇口和橫琴自建設以來，在基礎設施建設和落實國家優惠政策等方面都取得了一定的進展。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海南島將在2025年迎來全面封關運作，香港作為世界知名的自由貿易港，可積極分享零關稅貿易環境下的貿易經驗，積極打造瓊港合作國際貿易平台，與國家自由貿易區和自由貿易港共同攜手「走出去」。</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第三，利用自身網絡幫助內地開拓更廣闊的經貿空間。</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與東南亞、日、韓等RCEP成員保持著十分密切的商貿合作關係，較多移居東南亞的華人至今仍與香港保持緊密聯繫，甚至部份親人仍在香港定居；不少港商在東南亞亦有投資，他們的經驗對內地企業拓展東南亞業務有著相當的參考作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港府已於2022年初申請加入RCEP，約在2023年年中正式加入，香港將可幫助國家減少進入相關市場時可能遇到的各種障礙，國家亦可把香港作為國家對外開放的前鋒，開拓更廣闊的經貿空間。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33594"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2427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03</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58930"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5432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防控房地產行業風險：協助內地房地產行業健康平穩發展的有益助力者</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房地產行業是對內地國民經濟具有系統重要性的行業。</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內地早在土地剛開始商品化和房地產行業興起之初，就借鑒了香港的土地拍賣制度和房地產行業的部分發展經驗。</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內地房地產行業雖然得到了快速發展，但還面對包括土地使用權到期後房屋產權的處理問題等部分法律制度尚未健全；多年來「高負債、高杠杆、高周轉」融資模式帶來金融機構系統性風險；以及對房屋有效的供需監管機制缺位等問題。 </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應對上述問題，香港可以在新界土地99年使用權到期處理模式、政府基於科學數據進行地產業宏觀調控；和借鑒香港REITs（房地產投資信託基金）作為房地產新型融資模式方面，積極助力內地房地產行業健康平穩發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after="0" w:line="384" w:lineRule="atLeast"/>
        <w:ind w:left="240" w:right="240"/>
        <w:jc w:val="both"/>
        <w:rPr>
          <w:rStyle w:val="richmediacontentany"/>
          <w:rFonts w:ascii="Microsoft YaHei UI" w:eastAsia="Microsoft YaHei UI" w:hAnsi="Microsoft YaHei UI" w:cs="Microsoft YaHei UI"/>
          <w:color w:val="333333"/>
          <w:spacing w:val="0"/>
        </w:rPr>
      </w:pPr>
      <w:r>
        <w:rPr>
          <w:rStyle w:val="richmediacontentany"/>
          <w:rFonts w:ascii="Microsoft YaHei UI" w:eastAsia="Microsoft YaHei UI" w:hAnsi="Microsoft YaHei UI" w:cs="Microsoft YaHei UI"/>
          <w:color w:val="333333"/>
          <w:spacing w:val="0"/>
        </w:rPr>
        <w:t>鑒於上述考慮，若香港財政預算案在</w:t>
      </w:r>
      <w:r>
        <w:rPr>
          <w:rStyle w:val="richmediacontentany"/>
          <w:rFonts w:ascii="Microsoft YaHei UI" w:eastAsia="Microsoft YaHei UI" w:hAnsi="Microsoft YaHei UI" w:cs="Microsoft YaHei UI"/>
          <w:b/>
          <w:bCs/>
          <w:color w:val="333333"/>
          <w:spacing w:val="0"/>
        </w:rPr>
        <w:t>“國家所需，香港所長”</w:t>
      </w:r>
      <w:r>
        <w:rPr>
          <w:rStyle w:val="richmediacontentany"/>
          <w:rFonts w:ascii="Microsoft YaHei UI" w:eastAsia="Microsoft YaHei UI" w:hAnsi="Microsoft YaHei UI" w:cs="Microsoft YaHei UI"/>
          <w:color w:val="333333"/>
          <w:spacing w:val="0"/>
        </w:rPr>
        <w:t>方面有所落墨，</w:t>
      </w:r>
      <w:r>
        <w:rPr>
          <w:rStyle w:val="richmediacontentany"/>
          <w:rFonts w:ascii="Microsoft YaHei UI" w:eastAsia="Microsoft YaHei UI" w:hAnsi="Microsoft YaHei UI" w:cs="Microsoft YaHei UI"/>
          <w:color w:val="333333"/>
          <w:spacing w:val="8"/>
        </w:rPr>
        <w:t>相信香港在融入國家發展大局，貢獻國家經濟發展建設的同時，也將不斷開拓自身</w:t>
      </w:r>
      <w:r>
        <w:rPr>
          <w:rStyle w:val="richmediacontentany"/>
          <w:rFonts w:ascii="Microsoft YaHei UI" w:eastAsia="Microsoft YaHei UI" w:hAnsi="Microsoft YaHei UI" w:cs="Microsoft YaHei UI"/>
          <w:color w:val="333333"/>
          <w:spacing w:val="8"/>
        </w:rPr>
        <w:t>的發展潛能，實現雙贏。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4721" name=""/>
                    <pic:cNvPicPr>
                      <a:picLocks noChangeAspect="1"/>
                    </pic:cNvPicPr>
                  </pic:nvPicPr>
                  <pic:blipFill>
                    <a:blip xmlns:r="http://schemas.openxmlformats.org/officeDocument/2006/relationships" r:embed="rId11"/>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93319"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47285"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8880" name=""/>
                    <pic:cNvPicPr>
                      <a:picLocks noChangeAspect="1"/>
                    </pic:cNvPicPr>
                  </pic:nvPicPr>
                  <pic:blipFill>
                    <a:blip xmlns:r="http://schemas.openxmlformats.org/officeDocument/2006/relationships" r:embed="rId13"/>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92454"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58804" name=""/>
                    <pic:cNvPicPr>
                      <a:picLocks noChangeAspect="1"/>
                    </pic:cNvPicPr>
                  </pic:nvPicPr>
                  <pic:blipFill>
                    <a:blip xmlns:r="http://schemas.openxmlformats.org/officeDocument/2006/relationships" r:embed="rId14"/>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97073" name=""/>
                    <pic:cNvPicPr>
                      <a:picLocks noChangeAspect="1"/>
                    </pic:cNvPicPr>
                  </pic:nvPicPr>
                  <pic:blipFill>
                    <a:blip xmlns:r="http://schemas.openxmlformats.org/officeDocument/2006/relationships" r:embed="rId15"/>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png" /><Relationship Id="rId12" Type="http://schemas.openxmlformats.org/officeDocument/2006/relationships/image" Target="media/image7.emf"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3857&amp;idx=1&amp;sn=1c79f9abb8570f81aef53e202bb189d0&amp;chksm=fa7d69fbcd0ae0eda06ee110111535665b2847532b949a5d3e45667f76bc43a8a857b3fa52dc&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關注香港財政預算案 （二）</dc:title>
  <cp:revision>1</cp:revision>
</cp:coreProperties>
</file>