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擴闊稅基只是偽命題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2023-05-10</w:t>
      </w:r>
      <w:hyperlink r:id="rId5" w:anchor="wechat_redirect&amp;cpage=4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0248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27999"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如果扩的税基而增加的税收总额“微不足道”，倒不如继续维持简单税制，关注重点税种的税率。避免得不偿失。解决问题，我们还是得抓重点（税种）。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775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日前國際貨幣基金組織代表團發表有關對香港經濟和財政的評估報告（香港特別行政區2023年第四條磋商訪問初步結論）。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基金會的建議有兩個主要方面，一是香港應該分階段取消額外紓困措施，二是擴大稅基以提供穩定收入來源。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對於前者，基本上是情理之中，香港去年財赤嚴重，經常帳赤字達到1961億港元，預期財政赤字為1398億港元。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隨著撤銷防疫限制，經濟逐漸復常，我們看不到任何充分的原因，再維持這些對政府財政造成相當壓力的非常時期措施。許多這類措施，都是一刀切式的發放，而非具有高度的針對性。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但對於擴闊稅基，則不過是舊調重彈，記憶中在過去幾十年，「擴闊稅基」都是定期被放到枱面上的議題，大多數情況都是講講而已，充其量也是成立一個工作委員會去檢討一下，報告交完就算。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直至2006年，時任財政司司長唐英年真的認真起來，建議開徵銷售稅，結果這齣戲只唱了幾個月就落幕，銷售稅一事，以後提也不敢提了。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只是從表面上看「擴闊稅基」這四個字，那是很難挑剔，稅務基礎，越闊當然在感覺上越安全，那才有宣傳上的市場，定時定刻，就有人拿來炒作一下，連國際貨幣基金組織這類嚴肅的機構也不能例外。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94503" name=""/>
                    <pic:cNvPicPr>
                      <a:picLocks noChangeAspect="1"/>
                    </pic:cNvPicPr>
                  </pic:nvPicPr>
                  <pic:blipFill>
                    <a:blip xmlns:r="http://schemas.openxmlformats.org/officeDocument/2006/relationships" r:embed="rId8"/>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但如果翻看香港在回歸前後五十多年來的稅務變化，那就不難發覺，如果「稅基」是以稅務種類來定義，那香港的「稅基」不但沒有像基金會這些呼籲有所擴闊，甚至是背道而馳，「稅基」越來越窄。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個人翻查了政府年報和參考了稅務局《六十周年特刊》，在過去五十多年，被刪減的稅種為數不少。</w:t>
      </w:r>
    </w:p>
    <w:p>
      <w:pPr>
        <w:shd w:val="clear" w:color="auto" w:fill="FFFFFF"/>
        <w:spacing w:before="0" w:after="0" w:line="384" w:lineRule="atLeast"/>
        <w:ind w:left="240" w:right="240" w:firstLine="0"/>
        <w:jc w:val="center"/>
        <w:rPr>
          <w:rFonts w:ascii="Microsoft YaHei UI" w:eastAsia="Microsoft YaHei UI" w:hAnsi="Microsoft YaHei UI" w:cs="Microsoft YaHei UI"/>
          <w:color w:val="333333"/>
          <w:spacing w:val="8"/>
        </w:rPr>
      </w:pPr>
    </w:p>
    <w:tbl>
      <w:tblPr>
        <w:tblStyle w:val="richmediacontentanyTable"/>
        <w:tblCellSpacing w:w="0" w:type="dxa"/>
        <w:tblInd w:w="348" w:type="dxa"/>
        <w:shd w:val="clear" w:color="auto" w:fill="FFFFFF"/>
        <w:tblCellMar>
          <w:top w:w="0" w:type="dxa"/>
          <w:left w:w="0" w:type="dxa"/>
          <w:bottom w:w="0" w:type="dxa"/>
          <w:right w:w="0" w:type="dxa"/>
        </w:tblCellMar>
        <w:tblLook w:val="05E0"/>
      </w:tblPr>
      <w:tblGrid>
        <w:gridCol w:w="1707"/>
        <w:gridCol w:w="3517"/>
      </w:tblGrid>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年份</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取消稅種</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w:t>
            </w:r>
            <w:r>
              <w:rPr>
                <w:rStyle w:val="richmediacontentany"/>
                <w:rFonts w:ascii="Calibri" w:eastAsia="Calibri" w:hAnsi="Calibri" w:cs="Calibri"/>
                <w:color w:val="333333"/>
                <w:spacing w:val="8"/>
              </w:rPr>
              <w:t>970</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舞廳税</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1989</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利息税</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1992</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電影院門票的娛樂税</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1993</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馬場入場費的娛樂税</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2006</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遺產税</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2008</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酒店房租稅</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14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2008</w:t>
            </w:r>
          </w:p>
        </w:tc>
        <w:tc>
          <w:tcPr>
            <w:tcW w:w="329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葡萄酒稅</w:t>
            </w:r>
          </w:p>
        </w:tc>
      </w:tr>
    </w:tbl>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稅務局只是負責徵稅的執行部門，他們不會深入去解釋減除這些稅項的原因，但就算是港府的最高層，亦不一定把背後的原因如實全數公開。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但以常理審度，以上減除的稅項，主要是為了鞏固香港金融中心地位，又或者促進一些產業的成型。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而另一個原因，就是一些稅項的數額，和其他主要稅項所得金額一比，根本微不足道，無論從徵稅成本的角度，又或者擾民的角度，取消這些「細眉細眼」的稅項都是明智之舉。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以「基礎」來看香港稅收，那就不妨首先看一看這基礎的主要支柱，過去3個財政年度，前5項稅收如下：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tbl>
      <w:tblPr>
        <w:tblStyle w:val="richmediacontentanyTable"/>
        <w:tblCellSpacing w:w="0" w:type="dxa"/>
        <w:tblInd w:w="348" w:type="dxa"/>
        <w:shd w:val="clear" w:color="auto" w:fill="FFFFFF"/>
        <w:tblCellMar>
          <w:top w:w="0" w:type="dxa"/>
          <w:left w:w="0" w:type="dxa"/>
          <w:bottom w:w="0" w:type="dxa"/>
          <w:right w:w="0" w:type="dxa"/>
        </w:tblCellMar>
        <w:tblLook w:val="05E0"/>
      </w:tblPr>
      <w:tblGrid>
        <w:gridCol w:w="2243"/>
        <w:gridCol w:w="2192"/>
        <w:gridCol w:w="1883"/>
        <w:gridCol w:w="1974"/>
      </w:tblGrid>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481" w:type="dxa"/>
            <w:shd w:val="clear" w:color="auto" w:fill="FFFFFF"/>
            <w:tcMar>
              <w:top w:w="0" w:type="dxa"/>
              <w:left w:w="108" w:type="dxa"/>
              <w:bottom w:w="0" w:type="dxa"/>
              <w:right w:w="108" w:type="dxa"/>
            </w:tcMar>
            <w:vAlign w:val="top"/>
            <w:hideMark/>
          </w:tcPr>
          <w:p>
            <w:pPr>
              <w:spacing w:line="384" w:lineRule="atLeast"/>
              <w:jc w:val="both"/>
              <w:rPr>
                <w:rFonts w:ascii="Microsoft YaHei UI" w:eastAsia="Microsoft YaHei UI" w:hAnsi="Microsoft YaHei UI" w:cs="Microsoft YaHei UI"/>
                <w:color w:val="333333"/>
                <w:spacing w:val="8"/>
              </w:rPr>
            </w:pPr>
          </w:p>
        </w:tc>
        <w:tc>
          <w:tcPr>
            <w:tcW w:w="23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w:t>
            </w:r>
            <w:r>
              <w:rPr>
                <w:rStyle w:val="richmediacontentany"/>
                <w:rFonts w:ascii="Calibri" w:eastAsia="Calibri" w:hAnsi="Calibri" w:cs="Calibri"/>
                <w:color w:val="333333"/>
                <w:spacing w:val="8"/>
              </w:rPr>
              <w:t>019-20</w:t>
            </w:r>
          </w:p>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年度</w:t>
            </w:r>
          </w:p>
        </w:tc>
        <w:tc>
          <w:tcPr>
            <w:tcW w:w="19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w:t>
            </w:r>
            <w:r>
              <w:rPr>
                <w:rStyle w:val="richmediacontentany"/>
                <w:rFonts w:ascii="Calibri" w:eastAsia="Calibri" w:hAnsi="Calibri" w:cs="Calibri"/>
                <w:color w:val="333333"/>
                <w:spacing w:val="8"/>
              </w:rPr>
              <w:t>020-21</w:t>
            </w:r>
          </w:p>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年度</w:t>
            </w:r>
          </w:p>
        </w:tc>
        <w:tc>
          <w:tcPr>
            <w:tcW w:w="20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w:t>
            </w:r>
            <w:r>
              <w:rPr>
                <w:rStyle w:val="richmediacontentany"/>
                <w:rFonts w:ascii="Calibri" w:eastAsia="Calibri" w:hAnsi="Calibri" w:cs="Calibri"/>
                <w:color w:val="333333"/>
                <w:spacing w:val="8"/>
              </w:rPr>
              <w:t>021-22</w:t>
            </w:r>
          </w:p>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年度</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18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稅項</w:t>
            </w:r>
            <w:r>
              <w:rPr>
                <w:rStyle w:val="richmediacontentany"/>
                <w:rFonts w:ascii="PMingLiU" w:eastAsia="PMingLiU" w:hAnsi="PMingLiU" w:cs="PMingLiU"/>
                <w:color w:val="333333"/>
                <w:spacing w:val="8"/>
              </w:rPr>
              <w:t>種類</w:t>
            </w:r>
          </w:p>
        </w:tc>
        <w:tc>
          <w:tcPr>
            <w:tcW w:w="20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w:t>
            </w:r>
            <w:r>
              <w:rPr>
                <w:rStyle w:val="richmediacontentany"/>
                <w:rFonts w:ascii="PMingLiU" w:eastAsia="PMingLiU" w:hAnsi="PMingLiU" w:cs="PMingLiU"/>
                <w:color w:val="333333"/>
                <w:spacing w:val="8"/>
              </w:rPr>
              <w:t>百萬元</w:t>
            </w:r>
            <w:r>
              <w:rPr>
                <w:rStyle w:val="richmediacontentany"/>
                <w:rFonts w:ascii="Calibri" w:eastAsia="Calibri" w:hAnsi="Calibri" w:cs="Calibri"/>
                <w:color w:val="333333"/>
                <w:spacing w:val="8"/>
              </w:rPr>
              <w:t>)</w:t>
            </w:r>
          </w:p>
        </w:tc>
        <w:tc>
          <w:tcPr>
            <w:tcW w:w="16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w:t>
            </w:r>
            <w:r>
              <w:rPr>
                <w:rStyle w:val="richmediacontentany"/>
                <w:rFonts w:ascii="PMingLiU" w:eastAsia="PMingLiU" w:hAnsi="PMingLiU" w:cs="PMingLiU"/>
                <w:color w:val="333333"/>
                <w:spacing w:val="8"/>
              </w:rPr>
              <w:t>百萬元</w:t>
            </w:r>
            <w:r>
              <w:rPr>
                <w:rStyle w:val="richmediacontentany"/>
                <w:rFonts w:ascii="Calibri" w:eastAsia="Calibri" w:hAnsi="Calibri" w:cs="Calibri"/>
                <w:color w:val="333333"/>
                <w:spacing w:val="8"/>
              </w:rPr>
              <w:t>)</w:t>
            </w:r>
          </w:p>
        </w:tc>
        <w:tc>
          <w:tcPr>
            <w:tcW w:w="17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w:t>
            </w:r>
            <w:r>
              <w:rPr>
                <w:rStyle w:val="richmediacontentany"/>
                <w:rFonts w:ascii="PMingLiU" w:eastAsia="PMingLiU" w:hAnsi="PMingLiU" w:cs="PMingLiU"/>
                <w:color w:val="333333"/>
                <w:spacing w:val="8"/>
              </w:rPr>
              <w:t>百萬元</w:t>
            </w:r>
            <w:r>
              <w:rPr>
                <w:rStyle w:val="richmediacontentany"/>
                <w:rFonts w:ascii="Calibri" w:eastAsia="Calibri" w:hAnsi="Calibri" w:cs="Calibri"/>
                <w:color w:val="333333"/>
                <w:spacing w:val="8"/>
              </w:rPr>
              <w:t>)</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4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利得稅</w:t>
            </w:r>
          </w:p>
        </w:tc>
        <w:tc>
          <w:tcPr>
            <w:tcW w:w="23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w:t>
            </w:r>
            <w:r>
              <w:rPr>
                <w:rStyle w:val="richmediacontentany"/>
                <w:rFonts w:ascii="Calibri" w:eastAsia="Calibri" w:hAnsi="Calibri" w:cs="Calibri"/>
                <w:color w:val="333333"/>
                <w:spacing w:val="8"/>
              </w:rPr>
              <w:t>55,900</w:t>
            </w:r>
          </w:p>
        </w:tc>
        <w:tc>
          <w:tcPr>
            <w:tcW w:w="19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w:t>
            </w:r>
            <w:r>
              <w:rPr>
                <w:rStyle w:val="richmediacontentany"/>
                <w:rFonts w:ascii="Calibri" w:eastAsia="Calibri" w:hAnsi="Calibri" w:cs="Calibri"/>
                <w:color w:val="333333"/>
                <w:spacing w:val="8"/>
              </w:rPr>
              <w:t>35,540</w:t>
            </w:r>
          </w:p>
        </w:tc>
        <w:tc>
          <w:tcPr>
            <w:tcW w:w="20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w:t>
            </w:r>
            <w:r>
              <w:rPr>
                <w:rStyle w:val="richmediacontentany"/>
                <w:rFonts w:ascii="Calibri" w:eastAsia="Calibri" w:hAnsi="Calibri" w:cs="Calibri"/>
                <w:color w:val="333333"/>
                <w:spacing w:val="8"/>
              </w:rPr>
              <w:t>67,336</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4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印花稅</w:t>
            </w:r>
          </w:p>
        </w:tc>
        <w:tc>
          <w:tcPr>
            <w:tcW w:w="23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6</w:t>
            </w:r>
            <w:r>
              <w:rPr>
                <w:rStyle w:val="richmediacontentany"/>
                <w:rFonts w:ascii="Calibri" w:eastAsia="Calibri" w:hAnsi="Calibri" w:cs="Calibri"/>
                <w:color w:val="333333"/>
                <w:spacing w:val="8"/>
              </w:rPr>
              <w:t>7,198</w:t>
            </w:r>
          </w:p>
        </w:tc>
        <w:tc>
          <w:tcPr>
            <w:tcW w:w="19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8</w:t>
            </w:r>
            <w:r>
              <w:rPr>
                <w:rStyle w:val="richmediacontentany"/>
                <w:rFonts w:ascii="Calibri" w:eastAsia="Calibri" w:hAnsi="Calibri" w:cs="Calibri"/>
                <w:color w:val="333333"/>
                <w:spacing w:val="8"/>
              </w:rPr>
              <w:t>9,045</w:t>
            </w:r>
          </w:p>
        </w:tc>
        <w:tc>
          <w:tcPr>
            <w:tcW w:w="20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9</w:t>
            </w:r>
            <w:r>
              <w:rPr>
                <w:rStyle w:val="richmediacontentany"/>
                <w:rFonts w:ascii="Calibri" w:eastAsia="Calibri" w:hAnsi="Calibri" w:cs="Calibri"/>
                <w:color w:val="333333"/>
                <w:spacing w:val="8"/>
              </w:rPr>
              <w:t>9,677</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4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薪俸稅</w:t>
            </w:r>
          </w:p>
        </w:tc>
        <w:tc>
          <w:tcPr>
            <w:tcW w:w="23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5</w:t>
            </w:r>
            <w:r>
              <w:rPr>
                <w:rStyle w:val="richmediacontentany"/>
                <w:rFonts w:ascii="Calibri" w:eastAsia="Calibri" w:hAnsi="Calibri" w:cs="Calibri"/>
                <w:color w:val="333333"/>
                <w:spacing w:val="8"/>
              </w:rPr>
              <w:t>0,412</w:t>
            </w:r>
          </w:p>
        </w:tc>
        <w:tc>
          <w:tcPr>
            <w:tcW w:w="19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7</w:t>
            </w:r>
            <w:r>
              <w:rPr>
                <w:rStyle w:val="richmediacontentany"/>
                <w:rFonts w:ascii="Calibri" w:eastAsia="Calibri" w:hAnsi="Calibri" w:cs="Calibri"/>
                <w:color w:val="333333"/>
                <w:spacing w:val="8"/>
              </w:rPr>
              <w:t>5,027</w:t>
            </w:r>
          </w:p>
        </w:tc>
        <w:tc>
          <w:tcPr>
            <w:tcW w:w="20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7</w:t>
            </w:r>
            <w:r>
              <w:rPr>
                <w:rStyle w:val="richmediacontentany"/>
                <w:rFonts w:ascii="Calibri" w:eastAsia="Calibri" w:hAnsi="Calibri" w:cs="Calibri"/>
                <w:color w:val="333333"/>
                <w:spacing w:val="8"/>
              </w:rPr>
              <w:t>5,570</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4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博彩稅</w:t>
            </w:r>
          </w:p>
        </w:tc>
        <w:tc>
          <w:tcPr>
            <w:tcW w:w="23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w:t>
            </w:r>
            <w:r>
              <w:rPr>
                <w:rStyle w:val="richmediacontentany"/>
                <w:rFonts w:ascii="Calibri" w:eastAsia="Calibri" w:hAnsi="Calibri" w:cs="Calibri"/>
                <w:color w:val="333333"/>
                <w:spacing w:val="8"/>
              </w:rPr>
              <w:t>2,012</w:t>
            </w:r>
          </w:p>
        </w:tc>
        <w:tc>
          <w:tcPr>
            <w:tcW w:w="19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w:t>
            </w:r>
            <w:r>
              <w:rPr>
                <w:rStyle w:val="richmediacontentany"/>
                <w:rFonts w:ascii="Calibri" w:eastAsia="Calibri" w:hAnsi="Calibri" w:cs="Calibri"/>
                <w:color w:val="333333"/>
                <w:spacing w:val="8"/>
              </w:rPr>
              <w:t>0,877</w:t>
            </w:r>
          </w:p>
        </w:tc>
        <w:tc>
          <w:tcPr>
            <w:tcW w:w="20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w:t>
            </w:r>
            <w:r>
              <w:rPr>
                <w:rStyle w:val="richmediacontentany"/>
                <w:rFonts w:ascii="Calibri" w:eastAsia="Calibri" w:hAnsi="Calibri" w:cs="Calibri"/>
                <w:color w:val="333333"/>
                <w:spacing w:val="8"/>
              </w:rPr>
              <w:t>5,432</w:t>
            </w:r>
          </w:p>
        </w:tc>
      </w:tr>
      <w:tr>
        <w:tblPrEx>
          <w:tblCellSpacing w:w="0" w:type="dxa"/>
          <w:tblInd w:w="348" w:type="dxa"/>
          <w:shd w:val="clear" w:color="auto" w:fill="FFFFFF"/>
          <w:tblCellMar>
            <w:top w:w="0" w:type="dxa"/>
            <w:left w:w="0" w:type="dxa"/>
            <w:bottom w:w="0" w:type="dxa"/>
            <w:right w:w="0" w:type="dxa"/>
          </w:tblCellMar>
          <w:tblLook w:val="05E0"/>
        </w:tblPrEx>
        <w:trPr>
          <w:tblCellSpacing w:w="0" w:type="dxa"/>
        </w:trPr>
        <w:tc>
          <w:tcPr>
            <w:tcW w:w="24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一般</w:t>
            </w:r>
            <w:r>
              <w:rPr>
                <w:rStyle w:val="richmediacontentany"/>
                <w:rFonts w:ascii="PMingLiU" w:eastAsia="PMingLiU" w:hAnsi="PMingLiU" w:cs="PMingLiU"/>
                <w:color w:val="333333"/>
                <w:spacing w:val="8"/>
              </w:rPr>
              <w:t>差餉</w:t>
            </w:r>
          </w:p>
        </w:tc>
        <w:tc>
          <w:tcPr>
            <w:tcW w:w="2381"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20,981</w:t>
            </w:r>
          </w:p>
        </w:tc>
        <w:tc>
          <w:tcPr>
            <w:tcW w:w="197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w:t>
            </w:r>
            <w:r>
              <w:rPr>
                <w:rStyle w:val="richmediacontentany"/>
                <w:rFonts w:ascii="Calibri" w:eastAsia="Calibri" w:hAnsi="Calibri" w:cs="Calibri"/>
                <w:color w:val="333333"/>
                <w:spacing w:val="8"/>
              </w:rPr>
              <w:t>9,044</w:t>
            </w:r>
          </w:p>
        </w:tc>
        <w:tc>
          <w:tcPr>
            <w:tcW w:w="2096" w:type="dxa"/>
            <w:shd w:val="clear" w:color="auto" w:fill="FFFFFF"/>
            <w:tcMar>
              <w:top w:w="0" w:type="dxa"/>
              <w:left w:w="108" w:type="dxa"/>
              <w:bottom w:w="0" w:type="dxa"/>
              <w:right w:w="108" w:type="dxa"/>
            </w:tcMar>
            <w:vAlign w:val="top"/>
            <w:hideMark/>
          </w:tcPr>
          <w:p>
            <w:pPr>
              <w:pStyle w:val="richmediacontentp"/>
              <w:pBdr>
                <w:top w:val="none" w:sz="0" w:space="0" w:color="auto"/>
                <w:left w:val="none" w:sz="0" w:space="0" w:color="auto"/>
                <w:bottom w:val="none" w:sz="0" w:space="0" w:color="auto"/>
                <w:right w:val="none" w:sz="0" w:space="0" w:color="auto"/>
              </w:pBdr>
              <w:spacing w:before="0" w:after="0" w:line="384" w:lineRule="atLeast"/>
              <w:ind w:left="0" w:right="0"/>
              <w:jc w:val="center"/>
              <w:rPr>
                <w:rFonts w:ascii="Microsoft YaHei UI" w:eastAsia="Microsoft YaHei UI" w:hAnsi="Microsoft YaHei UI" w:cs="Microsoft YaHei UI"/>
                <w:color w:val="333333"/>
                <w:spacing w:val="8"/>
              </w:rPr>
            </w:pPr>
            <w:r>
              <w:rPr>
                <w:rStyle w:val="richmediacontentany"/>
                <w:rFonts w:ascii="Calibri" w:eastAsia="Calibri" w:hAnsi="Calibri" w:cs="Calibri"/>
                <w:color w:val="333333"/>
                <w:spacing w:val="8"/>
              </w:rPr>
              <w:t>1</w:t>
            </w:r>
            <w:r>
              <w:rPr>
                <w:rStyle w:val="richmediacontentany"/>
                <w:rFonts w:ascii="Calibri" w:eastAsia="Calibri" w:hAnsi="Calibri" w:cs="Calibri"/>
                <w:color w:val="333333"/>
                <w:spacing w:val="8"/>
              </w:rPr>
              <w:t>9,256</w:t>
            </w:r>
          </w:p>
        </w:tc>
      </w:tr>
    </w:tbl>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香港實行簡單稅制，徵收的稅項不多，而且在過去是減多過加，其中一個主要原因就是主力稅項的收入來源極為可觀，每項都是數以百億之數。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如果真的要擴充稅基，那新增的支柱，總要有一定的強度才具意義。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如果只是三幾億的數額，是否具有徵稅的成本效益固有疑問，也無法分擔現時主要稅項的風險。</w:t>
      </w:r>
      <w:r>
        <w:rPr>
          <w:rStyle w:val="richmediacontentany"/>
          <w:rFonts w:ascii="Microsoft YaHei UI" w:eastAsia="Microsoft YaHei UI" w:hAnsi="Microsoft YaHei UI" w:cs="Microsoft YaHei UI"/>
          <w:color w:val="333333"/>
          <w:spacing w:val="9"/>
        </w:rPr>
        <w:t>真的具有相當力度的新稅源，來來去去只有銷售稅。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正反論據，在上次諮詢時已經講得一清二楚，政府也深知無法過關才中途腰斬。</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223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8576" name=""/>
                    <pic:cNvPicPr>
                      <a:picLocks noChangeAspect="1"/>
                    </pic:cNvPicPr>
                  </pic:nvPicPr>
                  <pic:blipFill>
                    <a:blip xmlns:r="http://schemas.openxmlformats.org/officeDocument/2006/relationships" r:embed="rId9"/>
                    <a:stretch>
                      <a:fillRect/>
                    </a:stretch>
                  </pic:blipFill>
                  <pic:spPr>
                    <a:xfrm>
                      <a:off x="0" y="0"/>
                      <a:ext cx="5486400" cy="33223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過去政府遇上財政有問題，也只是向現有稅種打主意</w:t>
      </w:r>
      <w:r>
        <w:rPr>
          <w:rStyle w:val="richmediacontentany"/>
          <w:rFonts w:ascii="Microsoft YaHei UI" w:eastAsia="Microsoft YaHei UI" w:hAnsi="Microsoft YaHei UI" w:cs="Microsoft YaHei UI"/>
          <w:color w:val="333333"/>
          <w:spacing w:val="9"/>
        </w:rPr>
        <w:t>：在現</w:t>
      </w:r>
      <w:r>
        <w:rPr>
          <w:rStyle w:val="richmediacontentany"/>
          <w:rFonts w:ascii="Microsoft YaHei UI" w:eastAsia="Microsoft YaHei UI" w:hAnsi="Microsoft YaHei UI" w:cs="Microsoft YaHei UI"/>
          <w:color w:val="333333"/>
          <w:spacing w:val="9"/>
        </w:rPr>
        <w:t>有稅種增加稅率，而不橫向增稅種，策略是只求加深而不求擴闊。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香港的經濟結構的客觀事實如此，要增加稅種，也是欲加無從。</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91859"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06903"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63384"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27095"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49412"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table" w:customStyle="1" w:styleId="richmediacontentanyTable">
    <w:name w:val="rich_media_content_any 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474&amp;idx=1&amp;sn=e78b73eae9e49a8174fdb2e830d04cab&amp;chksm=8a645cf801e13fb06638627aa9233bbc47f7b27d00cc85b042b598bff5c3df8ab9ff17e3b1a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擴闊稅基只是偽命題</dc:title>
  <cp:revision>1</cp:revision>
</cp:coreProperties>
</file>