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J1⑧155：迁陵守丞色下少内案致文书</w:t>
      </w:r>
    </w:p>
    <w:p>
      <w:pPr>
        <w:pStyle w:val="Heading1"/>
      </w:pPr>
      <w:r>
        <w:t>来源出处</w:t>
      </w:r>
    </w:p>
    <w:p>
      <w:r>
        <w:t>里耶古城一号井第八层出土，原整理号 8-155。</w:t>
      </w:r>
    </w:p>
    <w:p>
      <w:r>
        <w:t>释文、注释：《里耶秦简牍校释》第一卷，第 94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363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63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1112727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2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93600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568285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88400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96307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1090125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0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470195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13000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2400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09363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9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33032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色　</w:t>
      </w:r>
      <w:r>
        <w:t>顔气也。从人从卪。凡色之屬皆从色。（《说文解字》卷九·色部）</w:t>
      </w:r>
    </w:p>
    <w:p>
      <w:r>
        <w:drawing>
          <wp:inline xmlns:a="http://schemas.openxmlformats.org/drawingml/2006/main" xmlns:pic="http://schemas.openxmlformats.org/drawingml/2006/picture">
            <wp:extent cx="711243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805263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5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511672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6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謹　</w:t>
      </w:r>
      <w:r>
        <w:t>愼也。从言堇聲。（《说文解字》卷三·言部）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03419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案　</w:t>
      </w:r>
      <w:r>
        <w:t>几屬。从木安聲。（《说文解字》卷六·木部）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63648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6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致　</w:t>
      </w:r>
      <w:r>
        <w:t>送詣也。从夊从至。（《说文解字》卷五·夊部）</w:t>
      </w:r>
    </w:p>
    <w:p>
      <w:r>
        <w:drawing>
          <wp:inline xmlns:a="http://schemas.openxmlformats.org/drawingml/2006/main" xmlns:pic="http://schemas.openxmlformats.org/drawingml/2006/picture">
            <wp:extent cx="961714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74827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32173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44193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1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377400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87525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布　</w:t>
      </w:r>
      <w:r>
        <w:t>枲織也。从巾父聲。（《说文解字》卷七·巾部）</w:t>
      </w:r>
    </w:p>
    <w:p>
      <w:r>
        <w:drawing>
          <wp:inline xmlns:a="http://schemas.openxmlformats.org/drawingml/2006/main" xmlns:pic="http://schemas.openxmlformats.org/drawingml/2006/picture">
            <wp:extent cx="505142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432878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831692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1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9160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670285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0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1197391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7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欣　</w:t>
      </w:r>
      <w:r>
        <w:t>笑喜也。从欠斤聲。（《说文解字》卷八·欠部）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213831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38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90461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0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56000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578000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442723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7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59542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9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961714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6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234281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4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7061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0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22836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2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6400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26749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6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53491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534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快　</w:t>
      </w:r>
      <w:r>
        <w:t>喜也。从心夬聲。（《说文解字》卷十·心部）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716170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6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574530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4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pPr>
        <w:pStyle w:val="Caption"/>
      </w:pPr>
      <w:r>
        <w:t>图2  8-155 逐字字形与本义（共 50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四月丙午朔癸丑</w:t>
      </w:r>
      <w:r>
        <w:rPr>
          <w:vertAlign w:val="superscript"/>
          <w:sz w:val="18"/>
          <w:szCs w:val="18"/>
        </w:rPr>
        <w:t xml:space="preserve">［1］</w:t>
      </w:r>
      <w:r>
        <w:t>，迁陵守丞色下</w:t>
      </w:r>
      <w:r>
        <w:rPr>
          <w:vertAlign w:val="superscript"/>
          <w:sz w:val="18"/>
          <w:szCs w:val="18"/>
        </w:rPr>
        <w:t xml:space="preserve">［2］</w:t>
      </w:r>
      <w:r>
        <w:t>：少内谨案致之</w:t>
      </w:r>
      <w:r>
        <w:rPr>
          <w:vertAlign w:val="superscript"/>
          <w:sz w:val="18"/>
          <w:szCs w:val="18"/>
        </w:rPr>
        <w:t xml:space="preserve">［3］</w:t>
      </w:r>
      <w:r>
        <w:t>。书到言，署金布发，它如Ⅰ律令。/欣手</w:t>
      </w:r>
      <w:r>
        <w:rPr>
          <w:vertAlign w:val="superscript"/>
          <w:sz w:val="18"/>
          <w:szCs w:val="18"/>
        </w:rPr>
        <w:t xml:space="preserve">［4］</w:t>
      </w:r>
      <w:r>
        <w:t>。/四月癸丑水十一刻刻下五，守府快行少内</w:t>
      </w:r>
      <w:r>
        <w:rPr>
          <w:vertAlign w:val="superscript"/>
          <w:sz w:val="18"/>
          <w:szCs w:val="18"/>
        </w:rPr>
        <w:t xml:space="preserve">［5］</w:t>
      </w:r>
      <w:r>
        <w:t>。Ⅱ8-155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癸丑，四月八日。</w:t>
      </w:r>
    </w:p>
    <w:p>
      <w:r>
        <w:t>[2] 色，人名。</w:t>
      </w:r>
    </w:p>
    <w:p>
      <w:r>
        <w:t>[3] 案致，考查。“案”有查考义，《战国策·赵策二》：“臣窃以天下地图案之，诸侯之地，五倍于秦。”《论衡·问孔》：“案圣贤之言，上下多相违。” “致”有推究义，《礼记·乐记》“致乐以治心”，郑玄注：“致，犹深审也。”《二年律令·置吏律》219号简云：“县道官有请而当为律令者，各请属所二千石官，二千石官上相国、御史，相国、御史案致，当请，请之，毋得径请者。”</w:t>
      </w:r>
    </w:p>
    <w:p>
      <w:r>
        <w:t>[4] 欣，人名。</w:t>
      </w:r>
    </w:p>
    <w:p>
      <w:r>
        <w:t>[5] 快，人名。</w:t>
      </w:r>
    </w:p>
    <w:p>
      <w:pPr>
        <w:pStyle w:val="Heading1"/>
      </w:pPr>
      <w:r>
        <w:t>书法</w:t>
      </w:r>
    </w:p>
    <w:p>
      <w:r>
        <w:t>两栏竖写，字形窄小，笔画细匀，两栏字距一致（据图1）。</w:t>
      </w:r>
    </w:p>
    <w:p>
      <w:pPr>
        <w:pStyle w:val="Heading1"/>
      </w:pPr>
      <w:r>
        <w:t>简牍形制</w:t>
      </w:r>
    </w:p>
    <w:p>
      <w:r>
        <w:t>窄长简，上下两端基本平齐，简面完整（据图1）。</w:t>
      </w:r>
    </w:p>
    <w:p>
      <w:pPr>
        <w:pStyle w:val="Heading1"/>
      </w:pPr>
      <w:r>
        <w:t>书写方式</w:t>
      </w:r>
    </w:p>
    <w:p>
      <w:r>
        <w:t>两栏单行竖写，文书正文与经手人、送达时刻同写在一面（据图1、据释文）。</w:t>
      </w:r>
    </w:p>
    <w:p>
      <w:pPr>
        <w:pStyle w:val="Heading1"/>
      </w:pPr>
      <w:r>
        <w:t>美育价值</w:t>
      </w:r>
    </w:p>
    <w:p>
      <w:r>
        <w:t>简上要少内『谨案致之』，并写明『署金布发』，把该由哪个官署拆封也一并交代（据释文）。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