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J1⑧156：『廷主户发』文书标记</w:t>
      </w:r>
    </w:p>
    <w:p>
      <w:pPr>
        <w:pStyle w:val="Heading1"/>
      </w:pPr>
      <w:r>
        <w:t>来源出处</w:t>
      </w:r>
    </w:p>
    <w:p>
      <w:r>
        <w:t>里耶古城一号井第八层出土，原整理号 8-156。</w:t>
      </w:r>
    </w:p>
    <w:p>
      <w:r>
        <w:t>释文、注释：《里耶秦简牍校释》第一卷，第 94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756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756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2817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37090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55585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8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图2  8-156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廷主户发</w:t>
      </w:r>
      <w:r>
        <w:rPr>
          <w:vertAlign w:val="superscript"/>
          <w:sz w:val="18"/>
          <w:szCs w:val="18"/>
        </w:rPr>
        <w:t xml:space="preserve">［1］</w:t>
      </w:r>
      <w:r>
        <w:t>。8-156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主户，官署名。参看8-1注释。</w:t>
      </w:r>
    </w:p>
    <w:p>
      <w:pPr>
        <w:pStyle w:val="Heading1"/>
      </w:pPr>
      <w:r>
        <w:t>书法</w:t>
      </w:r>
    </w:p>
    <w:p>
      <w:r>
        <w:t>四字集中在简首，笔画清晰，字形偏方；简身其余部分空白（据图1）。</w:t>
      </w:r>
    </w:p>
    <w:p>
      <w:pPr>
        <w:pStyle w:val="Heading1"/>
      </w:pPr>
      <w:r>
        <w:t>简牍形制</w:t>
      </w:r>
    </w:p>
    <w:p>
      <w:r>
        <w:t>窄长简，字写在简首，下方简面空白（据图1）。</w:t>
      </w:r>
    </w:p>
    <w:p>
      <w:pPr>
        <w:pStyle w:val="Heading1"/>
      </w:pPr>
      <w:r>
        <w:t>书写方式</w:t>
      </w:r>
    </w:p>
    <w:p>
      <w:r>
        <w:t>四字连写于简首（据图1、据释文）。</w:t>
      </w:r>
    </w:p>
    <w:p>
      <w:pPr>
        <w:pStyle w:val="Heading1"/>
      </w:pPr>
      <w:r>
        <w:t>美育价值</w:t>
      </w:r>
    </w:p>
    <w:p>
      <w:r>
        <w:t w:space="preserve">简上只有『廷主户发』四字，《校释》指出『主户』是官署名，这四字是标明由谁拆封的标记（据释文、《校释》注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