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J1⑧159：制书与洞庭传递记录</w:t>
      </w:r>
    </w:p>
    <w:p>
      <w:pPr>
        <w:pStyle w:val="Heading1"/>
      </w:pPr>
      <w:r>
        <w:t>来源出处</w:t>
      </w:r>
    </w:p>
    <w:p>
      <w:r>
        <w:t>里耶古城一号井第八层出土，原整理号 8-159。</w:t>
      </w:r>
    </w:p>
    <w:p>
      <w:r>
        <w:t>释文、注释：《里耶秦简牍校释》第一卷，第 96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574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574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572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572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8-159背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374693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267750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57000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331932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9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392603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6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83796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463371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御　</w:t>
      </w:r>
      <w:r>
        <w:t>使馬也。从彳从卸。（《说文解字》卷二·彳部）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536842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00965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去　</w:t>
      </w:r>
      <w:r>
        <w:t>人相違也。从大凵聲。凡去之屬皆从去。（《说文解字》卷五·去部）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疾　</w:t>
      </w:r>
      <w:r>
        <w:t>病也。从疒矢聲。（《说文解字》卷七·疒部）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73433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4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相　</w:t>
      </w:r>
      <w:r>
        <w:t>省視也。从目从木。《易》曰：“地可觀者，莫可觀於木。”《詩》曰：“相鼠有皮。”（《说文解字》卷四·目部）</w:t>
      </w:r>
    </w:p>
    <w:p>
      <w:r>
        <w:drawing>
          <wp:inline xmlns:a="http://schemas.openxmlformats.org/drawingml/2006/main" xmlns:pic="http://schemas.openxmlformats.org/drawingml/2006/picture">
            <wp:extent cx="392062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384461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4666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38600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22366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3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恒　</w:t>
      </w:r>
      <w:r>
        <w:t>常也。从心从舟，在二之閒上下。心以舟施，恆也。（《说文解字》卷十三·二部）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08271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程　</w:t>
      </w:r>
      <w:r>
        <w:t>品也。十髮爲程，十程爲分，十分爲寸。从禾呈聲。（《说文解字》卷七·禾部）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388571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49632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9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33000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帬（裙）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直　</w:t>
      </w:r>
      <w:r>
        <w:t>正見也。从𠃊从十从目。（《说文解字》卷十二·𠃊部）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即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𤻮（應）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7922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9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43172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334391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𤻮（應）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6048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6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謹　</w:t>
      </w:r>
      <w:r>
        <w:t>愼也。从言堇聲。（《说文解字》卷三·言部）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24888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4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案　</w:t>
      </w:r>
      <w:r>
        <w:t>几屬。从木安聲。（《说文解字》卷六·木部）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374850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4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致　</w:t>
      </w:r>
      <w:r>
        <w:t>送詣也。从夊从至。（《说文解字》卷五·夊部）</w:t>
      </w:r>
    </w:p>
    <w:p>
      <w:r>
        <w:drawing>
          <wp:inline xmlns:a="http://schemas.openxmlformats.org/drawingml/2006/main" xmlns:pic="http://schemas.openxmlformats.org/drawingml/2006/picture">
            <wp:extent cx="289894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9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1213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2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57318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73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297257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2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8472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4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77312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7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391680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1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3891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1707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71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𡩡　</w:t>
      </w:r>
      <w:r>
        <w:t>入家𢯱也。从宀索聲。（《说文解字》卷七·宀部）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門　</w:t>
      </w:r>
      <w:r>
        <w:t>聞也。从二戶。象形。凡門之屬皆从門。（《说文解字》卷十二·門部）</w:t>
      </w:r>
    </w:p>
    <w:p>
      <w:r>
        <w:drawing>
          <wp:inline xmlns:a="http://schemas.openxmlformats.org/drawingml/2006/main" xmlns:pic="http://schemas.openxmlformats.org/drawingml/2006/picture">
            <wp:extent cx="332444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2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淺　</w:t>
      </w:r>
      <w:r>
        <w:t>不深也。从水戔聲。（《说文解字》卷十一·水部）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98978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8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79400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9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衍　</w:t>
      </w:r>
      <w:r>
        <w:t>水朝宗于海也。从水从行。（《说文解字》卷十一·水部）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19021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9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零　</w:t>
      </w:r>
      <w:r>
        <w:t>餘雨也。从雨令聲。（《说文解字》卷十一·雨部）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83796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3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次　</w:t>
      </w:r>
      <w:r>
        <w:t>不前，不精也。从欠二聲。（《说文解字》卷八·欠部）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283452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3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傳　</w:t>
      </w:r>
      <w:r>
        <w:t>遽也。从人專聲。（《说文解字》卷八·人部）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38210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8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353408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3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相　</w:t>
      </w:r>
      <w:r>
        <w:t>省視也。从目从木。《易》曰：“地可觀者，莫可觀於木。”《詩》曰：“相鼠有皮。”（《说文解字》卷四·目部）</w:t>
      </w:r>
    </w:p>
    <w:p>
      <w:r>
        <w:drawing>
          <wp:inline xmlns:a="http://schemas.openxmlformats.org/drawingml/2006/main" xmlns:pic="http://schemas.openxmlformats.org/drawingml/2006/picture">
            <wp:extent cx="362368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2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430312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0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門　</w:t>
      </w:r>
      <w:r>
        <w:t>聞也。从二戶。象形。凡門之屬皆从門。（《说文解字》卷十二·門部）</w:t>
      </w:r>
    </w:p>
    <w:p>
      <w:r>
        <w:drawing>
          <wp:inline xmlns:a="http://schemas.openxmlformats.org/drawingml/2006/main" xmlns:pic="http://schemas.openxmlformats.org/drawingml/2006/picture">
            <wp:extent cx="266936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69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淺　</w:t>
      </w:r>
      <w:r>
        <w:t>不深也。从水戔聲。（《说文解字》卷十一·水部）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83796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3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99130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9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衍　</w:t>
      </w:r>
      <w:r>
        <w:t>水朝宗于海也。从水从行。（《说文解字》卷十一·水部）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243551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3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零　</w:t>
      </w:r>
      <w:r>
        <w:t>餘雨也。从雨令聲。（《说文解字》卷十一·雨部）</w:t>
      </w:r>
    </w:p>
    <w:p>
      <w:r>
        <w:drawing>
          <wp:inline xmlns:a="http://schemas.openxmlformats.org/drawingml/2006/main" xmlns:pic="http://schemas.openxmlformats.org/drawingml/2006/picture">
            <wp:extent cx="386030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6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263392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33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345230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5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353408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3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21049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1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71028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10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3650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3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287265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72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368769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8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57784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77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弩　</w:t>
      </w:r>
      <w:r>
        <w:t>弓有臂者。《周禮》四弩：夾弩、庾弩、唐弩、大弩。从弓奴聲。（《说文解字》卷十二·弓部）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52363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2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印　</w:t>
      </w:r>
      <w:r>
        <w:t>執政所持信也。从爪从卪。凡印之屬皆从印。（《说文解字》卷九·印部）</w:t>
      </w:r>
    </w:p>
    <w:p>
      <w:r>
        <w:drawing>
          <wp:inline xmlns:a="http://schemas.openxmlformats.org/drawingml/2006/main" xmlns:pic="http://schemas.openxmlformats.org/drawingml/2006/picture">
            <wp:extent cx="429473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9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270000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恒　</w:t>
      </w:r>
      <w:r>
        <w:t>常也。从心从舟，在二之閒上下。心以舟施，恆也。（《说文解字》卷十三·二部）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64846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4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00965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0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790500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90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76769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76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30545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0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545837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5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68285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87400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8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57784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77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651483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514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65120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5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40772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0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38560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38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2000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41442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1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639818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39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图3  8-159 逐字字形与本义（共 110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制书曰</w:t>
      </w:r>
      <w:r>
        <w:rPr>
          <w:vertAlign w:val="superscript"/>
          <w:sz w:val="18"/>
          <w:szCs w:val="18"/>
        </w:rPr>
        <w:t xml:space="preserve">［1］</w:t>
      </w:r>
      <w:r>
        <w:t>：举事可为恒程者上丞相，上洞庭络帬（裙）程有□□□Ⅰ</w:t>
      </w:r>
    </w:p>
    <w:p>
      <w:r>
        <w:t xml:space="preserve">丗二年二月丁未朔□亥</w:t>
      </w:r>
      <w:r>
        <w:rPr>
          <w:vertAlign w:val="superscript"/>
          <w:sz w:val="18"/>
          <w:szCs w:val="18"/>
        </w:rPr>
        <w:t xml:space="preserve">［2］</w:t>
      </w:r>
      <w:r>
        <w:t xml:space="preserve">，御史丞去疾：丞相令曰举事可为恒Ⅱ程者□上帬（裙）直</w:t>
      </w:r>
      <w:r>
        <w:rPr>
          <w:vertAlign w:val="superscript"/>
          <w:sz w:val="18"/>
          <w:szCs w:val="18"/>
        </w:rPr>
        <w:t xml:space="preserve">［3］</w:t>
      </w:r>
      <w:r>
        <w:t xml:space="preserve">。即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（应）令</w:t>
      </w:r>
      <w:r>
        <w:rPr>
          <w:vertAlign w:val="superscript"/>
          <w:sz w:val="18"/>
          <w:szCs w:val="18"/>
        </w:rPr>
        <w:t xml:space="preserve">［4］</w:t>
      </w:r>
      <w:r>
        <w:t xml:space="preserve">，弗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（应），谨案致</w:t>
      </w:r>
      <w:r>
        <w:rPr>
          <w:vertAlign w:val="superscript"/>
          <w:sz w:val="18"/>
          <w:szCs w:val="18"/>
        </w:rPr>
        <w:t xml:space="preserve">［5］</w:t>
      </w:r>
      <w:r>
        <w:t xml:space="preserve">……Ⅲ</w:t>
      </w:r>
    </w:p>
    <w:p>
      <w:r>
        <w:t>……庭□。/□手。Ⅳ8-159</w:t>
      </w:r>
    </w:p>
    <w:p>
      <w:r>
        <w:t>三月丁丑朔壬辰，【洞庭】□□□□□□□□□□□□Ⅰ</w:t>
      </w:r>
    </w:p>
    <w:p>
      <w:r>
        <w:t>令□□□𡩡、门浅、上衍、零阳□□□以次传□□□□□Ⅱ</w:t>
      </w:r>
    </w:p>
    <w:p>
      <w:r>
        <w:t>书到相报□□□□门浅、上衍、零阳言书到，署□□发。Ⅲ</w:t>
      </w:r>
    </w:p>
    <w:p>
      <w:r>
        <w:t>□□□□一书以洞庭发弩印行事囗囗恒署Ⅳ</w:t>
      </w:r>
    </w:p>
    <w:p>
      <w:r>
        <w:t>酉阳报□报□署令发</w:t>
      </w:r>
      <w:r>
        <w:rPr>
          <w:vertAlign w:val="superscript"/>
          <w:sz w:val="18"/>
          <w:szCs w:val="18"/>
        </w:rPr>
        <w:t xml:space="preserve">［6］</w:t>
      </w:r>
      <w:r>
        <w:t>。/四月□丑水十一刻刻下五□□□□Ⅴ</w:t>
      </w:r>
    </w:p>
    <w:p>
      <w:r>
        <w:t>迁陵□，酉阳署令发。Ⅵ</w:t>
      </w:r>
    </w:p>
    <w:p>
      <w:r>
        <w:t>囗囗囗囗【布令】囗Ⅶ8-159背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制书，《汉书·高后纪》：“太后临朝称制”，颜师古注曰：“天子之言一曰制书，二曰诏书。制书者，谓为制度之命也，非皇后所得称。”汉蔡邕《独断》：“其（皇帝）命令：一曰策书，二曰制书，三曰诏书，四曰戒书。”岳麓书院秦简1384号简云：“行书律曰：有令女子、小童行制书者，赀二甲。”《二年律令·行书律》265-266简：“令邮人行制书、急书、复，勿令为它事。”</w:t>
      </w:r>
    </w:p>
    <w:p>
      <w:r>
        <w:t>[2] “亥”前一字，疑是“辛”。</w:t>
      </w:r>
    </w:p>
    <w:p>
      <w:r>
        <w:t>[3] 御史丞，御史大夫副贰。《汉书·百官公卿表上》:“御史大夫，秦官，位上卿，银印青绶，掌副丞相。有两丞，秩千石。”又《景十三王传·广川惠王刘越传》：“天子遣大鸿胪、丞相长史、御史丞、廷尉正杂治鉅鹿诏狱，奏请逮捕去及后昭信。”</w:t>
      </w:r>
    </w:p>
    <w:p>
      <w:r>
        <w:t>去疾，人名。《史记·秦始皇本纪》记云：“三十七年十月癸丑，始皇出游。左丞相斯从，右丞相去疾守。”与本简“御史丞去疾”或即一人。</w:t>
      </w:r>
    </w:p>
    <w:p>
      <w:r>
        <w:t>[4] 即，假若。</w:t>
      </w:r>
    </w:p>
    <w:p>
      <w:r>
        <w:t>[5] 致，原释文未释。</w:t>
      </w:r>
    </w:p>
    <w:p>
      <w:r>
        <w:t>[6] 酉，原释文未释。</w:t>
      </w:r>
    </w:p>
    <w:p>
      <w:pPr>
        <w:pStyle w:val="Heading1"/>
      </w:pPr>
      <w:r>
        <w:t>书法</w:t>
      </w:r>
    </w:p>
    <w:p>
      <w:r>
        <w:t>正背两面都写满小字，字形窄小，笔画细密；简面有多处深色污痕，部分字被遮住（据图1、图2）。</w:t>
      </w:r>
    </w:p>
    <w:p>
      <w:pPr>
        <w:pStyle w:val="Heading1"/>
      </w:pPr>
      <w:r>
        <w:t>简牍形制</w:t>
      </w:r>
    </w:p>
    <w:p>
      <w:r>
        <w:t>简身较宽厚，正背两面满写，背面中部有一道纵向深色痕（据图1、图2）。</w:t>
      </w:r>
    </w:p>
    <w:p>
      <w:pPr>
        <w:pStyle w:val="Heading1"/>
      </w:pPr>
      <w:r>
        <w:t>书写方式</w:t>
      </w:r>
    </w:p>
    <w:p>
      <w:r>
        <w:t>每栏单行竖写，正面四栏、背面七栏（据释文）。</w:t>
      </w:r>
    </w:p>
    <w:p>
      <w:pPr>
        <w:pStyle w:val="Heading1"/>
      </w:pPr>
      <w:r>
        <w:t>美育价值</w:t>
      </w:r>
    </w:p>
    <w:p>
      <w:r>
        <w:t>简上抄的是『制书曰：举事可为恒程者上丞相』这类下行文书，背面又记门浅、上衍、零阳等县以次传递的过程（据释文）。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