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简号 J1⑧161+307：颖阴相行田宇记日</w:t>
      </w:r>
    </w:p>
    <w:p>
      <w:pPr>
        <w:pStyle w:val="Heading1"/>
      </w:pPr>
      <w:r>
        <w:t>来源出处</w:t>
      </w:r>
    </w:p>
    <w:p>
      <w:r>
        <w:t>里耶古城一号井第八层出土，原整理号 8-161+8-307。</w:t>
      </w:r>
    </w:p>
    <w:p>
      <w:r>
        <w:t>释文、注释：《里耶秦简牍校释》第一卷，第 97 页。</w:t>
      </w:r>
    </w:p>
    <w:p>
      <w:r>
        <w:t>图版、单字字形：秦簡字形庫（www.kaom.net）《里耶1》。</w:t>
      </w:r>
    </w:p>
    <w:p>
      <w:pPr>
        <w:pStyle w:val="Heading1"/>
      </w:pPr>
      <w:r>
        <w:t>图片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1971258" cy="46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-161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71258" cy="46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图1  里耶秦简 8-161 实物照片。出处：秦簡字形庫（www.kaom.net）《里耶1》图版。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1550626" cy="468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-307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550626" cy="46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图2  8-307 。出处同图1。</w:t>
      </w:r>
    </w:p>
    <w:p>
      <w:r>
        <w:drawing>
          <wp:inline xmlns:a="http://schemas.openxmlformats.org/drawingml/2006/main" xmlns:pic="http://schemas.openxmlformats.org/drawingml/2006/picture">
            <wp:extent cx="675310" cy="612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7531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陽　</w:t>
      </w:r>
      <w:r>
        <w:t>高、明也。从𨸏昜聲。（《说文解字》卷十四·𨸏部）</w:t>
      </w:r>
    </w:p>
    <w:p>
      <w:r>
        <w:drawing>
          <wp:inline xmlns:a="http://schemas.openxmlformats.org/drawingml/2006/main" xmlns:pic="http://schemas.openxmlformats.org/drawingml/2006/picture">
            <wp:extent cx="566905" cy="612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0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東　</w:t>
      </w:r>
      <w:r>
        <w:t>動也。从木。官溥說：从日在木中。凡東之屬皆从東。（《说文解字》卷六·東部）</w:t>
      </w:r>
    </w:p>
    <w:p>
      <w:r>
        <w:drawing>
          <wp:inline xmlns:a="http://schemas.openxmlformats.org/drawingml/2006/main" xmlns:pic="http://schemas.openxmlformats.org/drawingml/2006/picture">
            <wp:extent cx="574909" cy="612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490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鄉　</w:t>
      </w:r>
      <w:r>
        <w:t>《说文解字》未收此字。</w:t>
      </w:r>
    </w:p>
    <w:p>
      <w:pPr>
        <w:pStyle w:val="Caption"/>
      </w:pPr>
      <w:r>
        <w:t>图3  8-161+8-307 逐字字形与本义（共 3 字，按原简文字序）。字形出处：秦簡字形庫（www.kaom.net）《里耶1》；本义出处：《说文解字》大徐本。</w:t>
      </w:r>
    </w:p>
    <w:p>
      <w:pPr>
        <w:pStyle w:val="Heading1"/>
      </w:pPr>
      <w:r>
        <w:t>释文</w:t>
      </w:r>
    </w:p>
    <w:p>
      <w:r>
        <w:t>〼□颖阴蘩阳东乡</w:t>
      </w:r>
      <w:r>
        <w:rPr>
          <w:vertAlign w:val="superscript"/>
          <w:sz w:val="18"/>
          <w:szCs w:val="18"/>
        </w:rPr>
        <w:t xml:space="preserve">［1］</w:t>
      </w:r>
      <w:r>
        <w:t>。Ⅰ</w:t>
      </w:r>
    </w:p>
    <w:p>
      <w:r>
        <w:t>【戊午】</w:t>
      </w:r>
      <w:r>
        <w:rPr>
          <w:vertAlign w:val="superscript"/>
          <w:sz w:val="18"/>
          <w:szCs w:val="18"/>
        </w:rPr>
        <w:t xml:space="preserve">［2］</w:t>
      </w:r>
      <w:r>
        <w:t>〼Ⅱ</w:t>
      </w:r>
    </w:p>
    <w:p>
      <w:r>
        <w:t>己未Ⅲ</w:t>
      </w:r>
    </w:p>
    <w:p>
      <w:r>
        <w:t>庚申，颖阴相来行田宇</w:t>
      </w:r>
      <w:r>
        <w:rPr>
          <w:vertAlign w:val="superscript"/>
          <w:sz w:val="18"/>
          <w:szCs w:val="18"/>
        </w:rPr>
        <w:t xml:space="preserve">［3］</w:t>
      </w:r>
      <w:r>
        <w:t>。8-161+8-307</w:t>
      </w:r>
    </w:p>
    <w:p>
      <w:pPr>
        <w:pStyle w:val="Heading1"/>
      </w:pPr>
      <w:r>
        <w:t>文字</w:t>
      </w:r>
    </w:p>
    <w:p>
      <w:r>
        <w:t>以下照录《里耶秦简牍校释》第一卷注文。</w:t>
      </w:r>
    </w:p>
    <w:p>
      <w:r>
        <w:t>[1] 颖阴，县名。应即颍阴，《汉书·地理志》属颍川郡，治所在今河南许昌市。《汉书·地理志》有繁阳、东乡二县，分别属魏郡、沛郡（秦曰四川）。简文蘩阳、东乡是颖阴乡里之名，抑或县名，待考。</w:t>
      </w:r>
    </w:p>
    <w:p>
      <w:r>
        <w:t>[2] 戊午，原未释。</w:t>
      </w:r>
    </w:p>
    <w:p>
      <w:r>
        <w:t>[3] 相，人名。</w:t>
      </w:r>
    </w:p>
    <w:p>
      <w:r>
        <w:t>行，给予。《二年律令·田律》239号简云：“田不可田者，勿行。当受田者欲受，许之。”整理小组注释云：行，指授田，《礼记·月令》注：“犹赐也。”今按：《汉书·高帝纪下》“且法以有功劳行田宅”颜注引苏林曰：“行音行酒之行，犹付与也。”《二年律令·户律》有受田宅的规定。</w:t>
      </w:r>
    </w:p>
    <w:p>
      <w:r>
        <w:t>田宇，犹田宅。《为吏之道》记魏户律云：“自今以来，叚（假）门逆吕（旅），赘婿后父，勿令为户，勿鼠（予）田宇。”又《日书》乙种《失火》云：“午失火，田宇多。”岳麓书院秦简《数》书0884云：“宇方百步，三人居之，巷广五步，问宇几可（何）？”可见宇指宅地。</w:t>
      </w:r>
    </w:p>
    <w:p>
      <w:r>
        <w:t>二片缀合，《里耶秦简（壹）》“简牍缀合表”已指出。</w:t>
      </w:r>
    </w:p>
    <w:p>
      <w:pPr>
        <w:pStyle w:val="Heading1"/>
      </w:pPr>
      <w:r>
        <w:t>书法</w:t>
      </w:r>
    </w:p>
    <w:p>
      <w:r>
        <w:t>图1 字迹很淡，只在右缘存三字；图2 字迹清楚，笔画粗重，字形偏方（据图1、图2）。</w:t>
      </w:r>
    </w:p>
    <w:p>
      <w:pPr>
        <w:pStyle w:val="Heading1"/>
      </w:pPr>
      <w:r>
        <w:t>简牍形制</w:t>
      </w:r>
    </w:p>
    <w:p>
      <w:r>
        <w:t w:space="preserve">8-161 与 8-307 二片缀合，《里耶秦简（壹）》『简牍缀合表』已指出（《校释》注</w:t>
      </w:r>
      <w:r>
        <w:rPr>
          <w:rFonts w:ascii="宋体" w:hAnsi="宋体" w:eastAsia="宋体" w:cs="宋体"/>
          <w:position w:val="6"/>
          <w:sz w:val="18"/>
          <w:szCs w:val="18"/>
        </w:rPr>
        <w:t w:space="preserve">［3］</w:t>
      </w:r>
      <w:r>
        <w:t w:space="preserve">）；图1 是一片较宽的残木，上缘残缺，图2 是窄长残简，右侧有缺（据图1、图2）。</w:t>
      </w:r>
    </w:p>
    <w:p>
      <w:pPr>
        <w:pStyle w:val="Heading1"/>
      </w:pPr>
      <w:r>
        <w:t>书写方式</w:t>
      </w:r>
    </w:p>
    <w:p>
      <w:r>
        <w:t>图2 上同日干支各占一行，记事另起一行（据图1、图2、据释文）。</w:t>
      </w:r>
    </w:p>
    <w:p>
      <w:pPr>
        <w:pStyle w:val="Heading1"/>
      </w:pPr>
      <w:r>
        <w:t>美育价值</w:t>
      </w:r>
    </w:p>
    <w:p>
      <w:r>
        <w:t>三天的干支『戊午』『己未』『庚申』排成三行，末行记『颖阴相来行田宇』，把授田宅的日子和来人写在一起（据释文）。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color w:val="00000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480" w:firstLineChars="200"/>
      <w:jc w:val="both"/>
    </w:pPr>
    <w:rPr>
      <w:rFonts w:ascii="Times New Roman" w:hAnsi="Times New Roman" w:eastAsia="宋体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jc w:val="left"/>
      <w:outlineLvl w:val="0"/>
    </w:pPr>
    <w:rPr>
      <w:rFonts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60" w:line="240" w:lineRule="auto" w:before="0"/>
      <w:contextualSpacing/>
      <w:jc w:val="center"/>
    </w:pPr>
    <w:rPr>
      <w:rFonts w:ascii="Times New Roman" w:hAnsi="Times New Roman" w:eastAsia="黑体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eastAsia="宋体"/>
      <w:b w:val="0"/>
      <w:bCs/>
      <w:color w:val="000000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jp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