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J1⑧165：『尉府』等残文书</w:t>
      </w:r>
    </w:p>
    <w:p>
      <w:pPr>
        <w:pStyle w:val="Heading1"/>
      </w:pPr>
      <w:r>
        <w:t>来源出处</w:t>
      </w:r>
    </w:p>
    <w:p>
      <w:r>
        <w:t>里耶古城一号井第八层出土，原整理号 8-165。</w:t>
      </w:r>
    </w:p>
    <w:p>
      <w:r>
        <w:t>释文、注释：《里耶秦简牍校释》第一卷，第 100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794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5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79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8-165正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886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65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88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8-165背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695454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707625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7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田　</w:t>
      </w:r>
      <w:r>
        <w:t>陳也。樹穀曰田。象四囗。十，阡陌之制也。凡田之屬皆从田。（《说文解字》卷十三·田部）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1011130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1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791121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11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在　</w:t>
      </w:r>
      <w:r>
        <w:t>存也。从土才聲。（《说文解字》卷十三·土部）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74827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8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46893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29692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9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5811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623769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3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355621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6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色　</w:t>
      </w:r>
      <w:r>
        <w:t>顔气也。从人从卪。凡色之屬皆从色。（《说文解字》卷九·色部）</w:t>
      </w:r>
    </w:p>
    <w:p>
      <w:r>
        <w:drawing>
          <wp:inline xmlns:a="http://schemas.openxmlformats.org/drawingml/2006/main" xmlns:pic="http://schemas.openxmlformats.org/drawingml/2006/picture">
            <wp:extent cx="546092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0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3032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0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660315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0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田　</w:t>
      </w:r>
      <w:r>
        <w:t>陳也。樹穀曰田。象四囗。十，阡陌之制也。凡田之屬皆从田。（《说文解字》卷十三·田部）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623127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1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21333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8702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0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3677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6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審　</w:t>
      </w:r>
      <w:r>
        <w:t>悉也。知宷諦也。从宀从釆。徐锴曰：“宀，覆也。釆，别也。包覆而深别之。宷，悉也。”（《说文解字》卷二·釆部）</w:t>
      </w:r>
    </w:p>
    <w:p>
      <w:r>
        <w:drawing>
          <wp:inline xmlns:a="http://schemas.openxmlformats.org/drawingml/2006/main" xmlns:pic="http://schemas.openxmlformats.org/drawingml/2006/picture">
            <wp:extent cx="558315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卯　</w:t>
      </w:r>
      <w:r>
        <w:t>冒也。二月，萬物冒地而出。象開門之形。故二月爲天門。凡卯之屬皆从卯。（《说文解字》卷十四·戼部）</w:t>
      </w:r>
    </w:p>
    <w:p>
      <w:r>
        <w:drawing>
          <wp:inline xmlns:a="http://schemas.openxmlformats.org/drawingml/2006/main" xmlns:pic="http://schemas.openxmlformats.org/drawingml/2006/picture">
            <wp:extent cx="460888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8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02153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41043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73750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3161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95931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47582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75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6857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530400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8265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2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8-165 逐字字形与本义（共 30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〼囗官田一〼Ⅰ</w:t>
      </w:r>
    </w:p>
    <w:p>
      <w:r>
        <w:t>〼囗在迁陵□□〼Ⅱ</w:t>
      </w:r>
    </w:p>
    <w:p>
      <w:r>
        <w:t>〼尉府不令色□</w:t>
      </w:r>
      <w:r>
        <w:rPr>
          <w:vertAlign w:val="superscript"/>
          <w:sz w:val="18"/>
          <w:szCs w:val="18"/>
        </w:rPr>
        <w:t xml:space="preserve">［1］</w:t>
      </w:r>
      <w:r>
        <w:t>Ⅲ</w:t>
      </w:r>
    </w:p>
    <w:p>
      <w:r>
        <w:t>〼□令田令史□审Ⅳ</w:t>
      </w:r>
    </w:p>
    <w:p>
      <w:r>
        <w:t>〼□□□卯，迁陵守Ⅴ</w:t>
      </w:r>
    </w:p>
    <w:p>
      <w:r>
        <w:t>〼□□守府□行</w:t>
      </w:r>
      <w:r>
        <w:rPr>
          <w:vertAlign w:val="superscript"/>
          <w:sz w:val="18"/>
          <w:szCs w:val="18"/>
        </w:rPr>
        <w:t xml:space="preserve">［2］</w:t>
      </w:r>
      <w:r>
        <w:t>。Ⅵ8-165</w:t>
      </w:r>
    </w:p>
    <w:p>
      <w:r>
        <w:t>〼□□〼8-165背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府，原释文未释。按：8-98有“尉府”一词。色，原释文未释。</w:t>
      </w:r>
    </w:p>
    <w:p>
      <w:r>
        <w:t>[2] “守府”后一字，原释文作“时”。</w:t>
      </w:r>
    </w:p>
    <w:p>
      <w:pPr>
        <w:pStyle w:val="Heading1"/>
      </w:pPr>
      <w:r>
        <w:t>书法</w:t>
      </w:r>
    </w:p>
    <w:p>
      <w:r>
        <w:t>图1 残存字分几栏，笔画较粗，字距疏密不一；图2 简面漫漶，字迹不可辨（据图1、图2）。</w:t>
      </w:r>
    </w:p>
    <w:p>
      <w:pPr>
        <w:pStyle w:val="Heading1"/>
      </w:pPr>
      <w:r>
        <w:t>简牍形制</w:t>
      </w:r>
    </w:p>
    <w:p>
      <w:r>
        <w:t>残片，上下两端残缺，边缘不整齐，简面有裂纹（据图1、图2）。</w:t>
      </w:r>
    </w:p>
    <w:p>
      <w:pPr>
        <w:pStyle w:val="Heading1"/>
      </w:pPr>
      <w:r>
        <w:t>书写方式</w:t>
      </w:r>
    </w:p>
    <w:p>
      <w:r>
        <w:t>图1 每栏单行竖写（据图1、据释文）。</w:t>
      </w:r>
    </w:p>
    <w:p>
      <w:pPr>
        <w:pStyle w:val="Heading1"/>
      </w:pPr>
      <w:r>
        <w:t>美育价值</w:t>
      </w:r>
    </w:p>
    <w:p>
      <w:r>
        <w:t w:space="preserve">残片可辨出『尉府』『迁陵守』等字，《校释》据8-98的『尉府』一词补释（据释文、《校释》注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