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J1⑧175：上见车及上当令者牒</w:t>
      </w:r>
    </w:p>
    <w:p>
      <w:pPr>
        <w:pStyle w:val="Heading1"/>
      </w:pPr>
      <w:r>
        <w:t>来源出处</w:t>
      </w:r>
    </w:p>
    <w:p>
      <w:r>
        <w:t>里耶古城一号井第八层出土，原整理号 8-175。</w:t>
      </w:r>
    </w:p>
    <w:p>
      <w:r>
        <w:t>释文、注释：《里耶秦简牍校释》第一卷，第 104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2299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299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8-175正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4544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7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4544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8-175背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0720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62040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93253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7888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8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91600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見　</w:t>
      </w:r>
      <w:r>
        <w:t>視也。从儿从目。凡見之屬皆从見。（《说文解字》卷八·見部）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601263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2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輼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78473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輬　</w:t>
      </w:r>
      <w:r>
        <w:t>臥車也。从車京聲。（《说文解字》卷十四·車部）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72909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軺　</w:t>
      </w:r>
      <w:r>
        <w:t>小車也。从車召聲。（《说文解字》卷十四·車部）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乘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0857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車　</w:t>
      </w:r>
      <w:r>
        <w:t>輿輪之緫名。夏后時奚仲所造。象形。凡車之屬皆从車。（《说文解字》卷十四·車部）</w:t>
      </w:r>
    </w:p>
    <w:p>
      <w:r>
        <w:drawing>
          <wp:inline xmlns:a="http://schemas.openxmlformats.org/drawingml/2006/main" xmlns:pic="http://schemas.openxmlformats.org/drawingml/2006/picture">
            <wp:extent cx="368876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8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及　</w:t>
      </w:r>
      <w:r>
        <w:t>逮也。从又从人。（《说文解字》卷三·又部）</w:t>
      </w:r>
    </w:p>
    <w:p>
      <w:r>
        <w:drawing>
          <wp:inline xmlns:a="http://schemas.openxmlformats.org/drawingml/2006/main" xmlns:pic="http://schemas.openxmlformats.org/drawingml/2006/picture">
            <wp:extent cx="457318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3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2721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7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940666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今　</w:t>
      </w:r>
      <w:r>
        <w:t>是時也。从亼从绁。绁，古文及。（《说文解字》卷五·亼部）</w:t>
      </w:r>
    </w:p>
    <w:p>
      <w:r>
        <w:drawing>
          <wp:inline xmlns:a="http://schemas.openxmlformats.org/drawingml/2006/main" xmlns:pic="http://schemas.openxmlformats.org/drawingml/2006/picture">
            <wp:extent cx="938399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383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682229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22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539526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823034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23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1464428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4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532519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25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牒　</w:t>
      </w:r>
      <w:r>
        <w:t>札也。从片枼聲。（《说文解字》卷七·片部）</w:t>
      </w:r>
    </w:p>
    <w:p>
      <w:r>
        <w:drawing>
          <wp:inline xmlns:a="http://schemas.openxmlformats.org/drawingml/2006/main" xmlns:pic="http://schemas.openxmlformats.org/drawingml/2006/picture">
            <wp:extent cx="442723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7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它　</w:t>
      </w:r>
      <w:r>
        <w:t>虫也。从虫而長，象冤曲垂尾形。上古艸居患它，故相問無它乎。凡它之屬皆从它。（《说文解字》卷十三·它部）</w:t>
      </w:r>
    </w:p>
    <w:p>
      <w:r>
        <w:drawing>
          <wp:inline xmlns:a="http://schemas.openxmlformats.org/drawingml/2006/main" xmlns:pic="http://schemas.openxmlformats.org/drawingml/2006/picture">
            <wp:extent cx="776769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76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pPr>
        <w:pStyle w:val="Caption"/>
      </w:pPr>
      <w:r>
        <w:t>图3  8-175 逐字字形与本义（共 25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〼囗敢言之：令曰上见辒辌轺乘车及</w:t>
      </w:r>
      <w:r>
        <w:rPr>
          <w:vertAlign w:val="superscript"/>
          <w:sz w:val="18"/>
          <w:szCs w:val="18"/>
        </w:rPr>
        <w:t xml:space="preserve">［1］</w:t>
      </w:r>
      <w:r>
        <w:t>Ⅰ</w:t>
      </w:r>
    </w:p>
    <w:p>
      <w:r>
        <w:t>〼守府，今上当令者一牒，它毋Ⅱ8-175</w:t>
      </w:r>
    </w:p>
    <w:p>
      <w:r>
        <w:t>〼□恒会正月七月朔日廷。Ⅰ</w:t>
      </w:r>
    </w:p>
    <w:p>
      <w:r>
        <w:t>〼佐午行</w:t>
      </w:r>
      <w:r>
        <w:rPr>
          <w:vertAlign w:val="superscript"/>
          <w:sz w:val="18"/>
          <w:szCs w:val="18"/>
        </w:rPr>
        <w:t xml:space="preserve">［2］</w:t>
      </w:r>
      <w:r>
        <w:t>。    午手。Ⅱ8-175背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辒辌，车名，或以为两种车。《史记·李斯列传》：“始皇崩。……置始皇居辒辌车中，百官奏事上食如故，宦者辄从辒辌车中可诸奏事。”《集解》：文颖曰：“辒辌车如今丧轜车也。”孟康曰：“如衣车，有窗牖，闭之则温，开之则凉，故名之‘辒辌车’也。”如淳曰：“辒辌车，其形广大，有羽饰也。”《汉书·霍光传》“载光尸柩以辒辌车”颜注：“辒辌本安车也，可以卧息。后因载丧，饰以柳涝，故遂为丧车耳。辒者密闭，辌者旁开窗牖，各别一乘，随事为名。后人既专以载丧，又去其一，总为藩饰，而合二名呼之耳。”</w:t>
      </w:r>
    </w:p>
    <w:p>
      <w:r>
        <w:t>轺车，轻便车。《史记･季布栾布列传》:“朱家乃乘轺车之洛阳,见汝阴侯滕公｡”索隐:“谓轻车,一马车也｡”乘车，一种轻便车。《法律答问》175号简云：“以其乘车载女子，可（何）论？赀二甲。”整理小组注释云：乘车，《尚书大传》“乘车輲轮。”注：“安车也。”即一种可以坐乘的小车。《礼记·曲礼上》：“大夫七十而致事，……适四方，乘安车。”乘坐安车是一种特殊待遇，所以本条规定不能用这种车乘载妇女。</w:t>
      </w:r>
    </w:p>
    <w:p>
      <w:r>
        <w:t>[2] 午，人名。</w:t>
      </w:r>
    </w:p>
    <w:p>
      <w:pPr>
        <w:pStyle w:val="Heading1"/>
      </w:pPr>
      <w:r>
        <w:t>书法</w:t>
      </w:r>
    </w:p>
    <w:p>
      <w:r>
        <w:t>正背两面各两栏，字迹清楚，字形瘦长，笔画细而挺（据图1、图2）。</w:t>
      </w:r>
    </w:p>
    <w:p>
      <w:pPr>
        <w:pStyle w:val="Heading1"/>
      </w:pPr>
      <w:r>
        <w:t>简牍形制</w:t>
      </w:r>
    </w:p>
    <w:p>
      <w:r>
        <w:t>窄长简，正背两面都有字，上下两端略残（据图1、图2）。</w:t>
      </w:r>
    </w:p>
    <w:p>
      <w:pPr>
        <w:pStyle w:val="Heading1"/>
      </w:pPr>
      <w:r>
        <w:t>书写方式</w:t>
      </w:r>
    </w:p>
    <w:p>
      <w:r>
        <w:t>正背两面都分两栏单行竖写（据图1、图2、据释文）。</w:t>
      </w:r>
    </w:p>
    <w:p>
      <w:pPr>
        <w:pStyle w:val="Heading1"/>
      </w:pPr>
      <w:r>
        <w:t>美育价值</w:t>
      </w:r>
    </w:p>
    <w:p>
      <w:r>
        <w:t>正面记『令曰上见辒辌轺乘车及』，背面记『佐午行』『午手』，一份上报车辆的文书连送件人也一并记下（据释文）。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