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J1⑧184：仓佐襄、感手残简</w:t>
      </w:r>
    </w:p>
    <w:p>
      <w:pPr>
        <w:pStyle w:val="Heading1"/>
      </w:pPr>
      <w:r>
        <w:t>来源出处</w:t>
      </w:r>
    </w:p>
    <w:p>
      <w:r>
        <w:t>里耶古城一号井第八层出土，原整理号 8-184。</w:t>
      </w:r>
    </w:p>
    <w:p>
      <w:r>
        <w:t>释文、注释：《里耶秦简牍校释》第一卷，第 107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5927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927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47895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64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襄　</w:t>
      </w:r>
      <w:r>
        <w:t>漢令：解衣耕謂之襄。从衣𤕦聲。（《说文解字》卷八·衣部）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39230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感　</w:t>
      </w:r>
      <w:r>
        <w:t>動人心也。从心咸聲。（《说文解字》卷十·心部）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32023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8-184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〼仓佐襄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〼    感手</w:t>
      </w:r>
      <w:r>
        <w:rPr>
          <w:vertAlign w:val="superscript"/>
          <w:sz w:val="18"/>
          <w:szCs w:val="18"/>
        </w:rPr>
        <w:t xml:space="preserve">［2］</w:t>
      </w:r>
      <w:r>
        <w:t>。Ⅱ8-184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襄，人名。</w:t>
      </w:r>
    </w:p>
    <w:p>
      <w:r>
        <w:t>[2] 感，人名。</w:t>
      </w:r>
    </w:p>
    <w:p>
      <w:pPr>
        <w:pStyle w:val="Heading1"/>
      </w:pPr>
      <w:r>
        <w:t>书法</w:t>
      </w:r>
    </w:p>
    <w:p>
      <w:r>
        <w:t>简上存数字，上部数字较清楚，下部字迹较淡（据图1）。</w:t>
      </w:r>
    </w:p>
    <w:p>
      <w:pPr>
        <w:pStyle w:val="Heading1"/>
      </w:pPr>
      <w:r>
        <w:t>简牍形制</w:t>
      </w:r>
    </w:p>
    <w:p>
      <w:r>
        <w:t>窄长简，上下两端略残（据图1）。</w:t>
      </w:r>
    </w:p>
    <w:p>
      <w:pPr>
        <w:pStyle w:val="Heading1"/>
      </w:pPr>
      <w:r>
        <w:t>书写方式</w:t>
      </w:r>
    </w:p>
    <w:p>
      <w:r>
        <w:t>残存字分两处，单行竖写（据图1、据释文）。</w:t>
      </w:r>
    </w:p>
    <w:p>
      <w:pPr>
        <w:pStyle w:val="Heading1"/>
      </w:pPr>
      <w:r>
        <w:t>美育价值</w:t>
      </w:r>
    </w:p>
    <w:p>
      <w:r>
        <w:t w:space="preserve">释文只存『仓佐襄』和『感手』两处，《校释》把『襄』『感』都释为人名（据释文、《校释》注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、注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