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J1⑧192：守丞章敢告武成</w:t>
      </w:r>
    </w:p>
    <w:p>
      <w:pPr>
        <w:pStyle w:val="Heading1"/>
      </w:pPr>
      <w:r>
        <w:t>来源出处</w:t>
      </w:r>
    </w:p>
    <w:p>
      <w:r>
        <w:t>里耶古城一号井第八层出土，原整理号 8-192。</w:t>
      </w:r>
    </w:p>
    <w:p>
      <w:r>
        <w:t>释文、注释：《里耶秦简牍校释》第一卷，第 108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7901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2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901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8-192正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43157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2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15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8-192背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38427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2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224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2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20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8479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7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8-192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〼右□守丞章敢告武成</w:t>
      </w:r>
      <w:r>
        <w:rPr>
          <w:vertAlign w:val="superscript"/>
          <w:sz w:val="18"/>
          <w:szCs w:val="18"/>
        </w:rPr>
        <w:t xml:space="preserve">［1］</w:t>
      </w:r>
      <w:r>
        <w:t>8-192</w:t>
      </w:r>
    </w:p>
    <w:p>
      <w:r>
        <w:t>〼□手。    □手</w:t>
      </w:r>
      <w:r>
        <w:rPr>
          <w:vertAlign w:val="superscript"/>
          <w:sz w:val="18"/>
          <w:szCs w:val="18"/>
        </w:rPr>
        <w:t xml:space="preserve">［2］</w:t>
      </w:r>
      <w:r>
        <w:t>。8-192背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“右”下一字，原释文作“</w:t>
      </w:r>
      <w:r>
        <w:drawing>
          <wp:inline xmlns:a="http://schemas.openxmlformats.org/drawingml/2006/main" xmlns:pic="http://schemas.openxmlformats.org/drawingml/2006/picture">
            <wp:extent cx="173172" cy="16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172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”。同样的字还见于8-462，原释文作“材”，皆待考。章，人名。</w:t>
      </w:r>
    </w:p>
    <w:p>
      <w:r>
        <w:t>成，疑读为“城”。武城，县名。《汉书·地理志》同名之县有二，一属左冯翊，治所在今陕西华县东；一属定襄郡，治所在今内蒙古清水河县北。《二年律令·秩律》有“上雒、商、武城、翟道”四县并列，整理小组注释指出“汉初属内史”。</w:t>
      </w:r>
    </w:p>
    <w:p>
      <w:r>
        <w:t>[2] “手”前一字，左从“金”。</w:t>
      </w:r>
    </w:p>
    <w:p>
      <w:pPr>
        <w:pStyle w:val="Heading1"/>
      </w:pPr>
      <w:r>
        <w:t>书法</w:t>
      </w:r>
    </w:p>
    <w:p>
      <w:r>
        <w:t>图1 字迹清楚，字形窄长，笔画细；图2 墨色淡，仅上下各一处可辨（据图1、图2）。</w:t>
      </w:r>
    </w:p>
    <w:p>
      <w:pPr>
        <w:pStyle w:val="Heading1"/>
      </w:pPr>
      <w:r>
        <w:t>简牍形制</w:t>
      </w:r>
    </w:p>
    <w:p>
      <w:r>
        <w:t>窄长简，正背两面有字，简身上部有一道横向裂痕（据图1）。</w:t>
      </w:r>
    </w:p>
    <w:p>
      <w:pPr>
        <w:pStyle w:val="Heading1"/>
      </w:pPr>
      <w:r>
        <w:t>书写方式</w:t>
      </w:r>
    </w:p>
    <w:p>
      <w:r>
        <w:t>图1 单行竖写，图2 分两处书写（据图1、图2、据释文）。</w:t>
      </w:r>
    </w:p>
    <w:p>
      <w:pPr>
        <w:pStyle w:val="Heading1"/>
      </w:pPr>
      <w:r>
        <w:t>美育价值</w:t>
      </w:r>
    </w:p>
    <w:p>
      <w:r>
        <w:t w:space="preserve">正面『右』下一字原释文未释，《校释》说同样的字还见于8-462，并指出『武成』应读为『武城』（《校释》注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