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J1⑧198+213+2013：迁陵丞昌下军吏文书（三片缀合）</w:t>
      </w:r>
    </w:p>
    <w:p>
      <w:pPr>
        <w:pStyle w:val="Heading1"/>
      </w:pPr>
      <w:r>
        <w:t>来源出处</w:t>
      </w:r>
    </w:p>
    <w:p>
      <w:r>
        <w:t>里耶古城一号井第八层出土，原整理号 8-198+8-213+8-2013。</w:t>
      </w:r>
    </w:p>
    <w:p>
      <w:r>
        <w:t>释文、注释：《里耶秦简牍校释》第一卷，第 110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197041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1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7041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8-213 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826046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98正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6046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8-198正 正面。出处同图1。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740301" cy="46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98背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40301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图3  8-198背 背面。出处同图1。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098387" cy="46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013正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98387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图4  8-2013正 正面。出处同图1。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098387" cy="46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013背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98387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图5  8-2013背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437142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71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行　</w:t>
      </w:r>
      <w:r>
        <w:t>人之步趨也。从彳从亍。凡行之屬皆从行。（《说文解字》卷二·行部）</w:t>
      </w:r>
    </w:p>
    <w:p>
      <w:r>
        <w:drawing>
          <wp:inline xmlns:a="http://schemas.openxmlformats.org/drawingml/2006/main" xmlns:pic="http://schemas.openxmlformats.org/drawingml/2006/picture">
            <wp:extent cx="322690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269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廷　</w:t>
      </w:r>
      <w:r>
        <w:t>朝中也。从廴壬聲。（《说文解字》卷二·廴部）</w:t>
      </w:r>
    </w:p>
    <w:p>
      <w:pPr>
        <w:pStyle w:val="Caption"/>
      </w:pPr>
      <w:r>
        <w:t>图6  8-198+8-213+8-2013 逐字字形与本义（共 2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〼□迁陵丞昌下乡官曰</w:t>
      </w:r>
      <w:r>
        <w:rPr>
          <w:vertAlign w:val="superscript"/>
          <w:sz w:val="18"/>
          <w:szCs w:val="18"/>
        </w:rPr>
        <w:t xml:space="preserve">［1］</w:t>
      </w:r>
      <w:r>
        <w:t>：各别军吏</w:t>
      </w:r>
      <w:r>
        <w:rPr>
          <w:vertAlign w:val="superscript"/>
          <w:sz w:val="18"/>
          <w:szCs w:val="18"/>
        </w:rPr>
        <w:t xml:space="preserve">［2］</w:t>
      </w:r>
      <w:r>
        <w:t>。·不当令乡官别书军吏，军吏及乡官弗当听。Ⅰ</w:t>
      </w:r>
    </w:p>
    <w:p>
      <w:r>
        <w:t>〼其问官下此书军吏。弗下下，定当坐者名吏里、它坐、訾能入赀不能</w:t>
      </w:r>
      <w:r>
        <w:rPr>
          <w:vertAlign w:val="superscript"/>
          <w:sz w:val="18"/>
          <w:szCs w:val="18"/>
        </w:rPr>
        <w:t xml:space="preserve">［3］</w:t>
      </w:r>
      <w:r>
        <w:t>，遣诣廷</w:t>
      </w:r>
      <w:r>
        <w:rPr>
          <w:vertAlign w:val="superscript"/>
          <w:sz w:val="18"/>
          <w:szCs w:val="18"/>
        </w:rPr>
        <w:t xml:space="preserve">［4］</w:t>
      </w:r>
      <w:r>
        <w:t>。Ⅱ</w:t>
      </w:r>
    </w:p>
    <w:p>
      <w:r>
        <w:t>〼□狱东</w:t>
      </w:r>
      <w:r>
        <w:rPr>
          <w:vertAlign w:val="superscript"/>
          <w:sz w:val="18"/>
          <w:szCs w:val="18"/>
        </w:rPr>
        <w:t xml:space="preserve">［5］</w:t>
      </w:r>
      <w:r>
        <w:t>。/义手</w:t>
      </w:r>
      <w:r>
        <w:rPr>
          <w:vertAlign w:val="superscript"/>
          <w:sz w:val="18"/>
          <w:szCs w:val="18"/>
        </w:rPr>
        <w:t xml:space="preserve">［6］</w:t>
      </w:r>
      <w:r>
        <w:t>。Ⅲ8-198+8-213+8-2013</w:t>
      </w:r>
    </w:p>
    <w:p>
      <w:r>
        <w:t>〼【者】。/萃手</w:t>
      </w:r>
      <w:r>
        <w:rPr>
          <w:vertAlign w:val="superscript"/>
          <w:sz w:val="18"/>
          <w:szCs w:val="18"/>
        </w:rPr>
        <w:t xml:space="preserve">［7］</w:t>
      </w:r>
      <w:r>
        <w:t>。/旦，守府昌行廷</w:t>
      </w:r>
      <w:r>
        <w:rPr>
          <w:vertAlign w:val="superscript"/>
          <w:sz w:val="18"/>
          <w:szCs w:val="18"/>
        </w:rPr>
        <w:t xml:space="preserve">［8］</w:t>
      </w:r>
      <w:r>
        <w:t>。8-198背+8-213背+8-2013背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昌，人名。</w:t>
      </w:r>
    </w:p>
    <w:p>
      <w:r>
        <w:t>乡官，乡中官署或官吏。《二年律令·具律》101号简云：“诸欲告罪人、及有罪先自告而远其县廷者，皆得告所在乡，乡官谨听，书其告，上县道官。廷士吏亦得听告。”《二年律令与奏谳书》校释云：“乡官”，此指乡啬夫等所属机关。《汉书・百官公卿表上》：“乡有三老、有秩、啬夫、游徼。三老敎化。啬夫职听讼，收赋税。游徼徼循禁贼盗。”</w:t>
      </w:r>
    </w:p>
    <w:p>
      <w:r>
        <w:t>[2] 军吏，中下层军官｡《周礼･夏官･大司马》:“诸侯载旗，军吏载旗｡”郑玄注:“军吏,诸军帅也。”贾疏:“亦谓从军将至下伍长皆是军吏也｡”黎虎先生指出：秦汉时军人分为军将、军吏、士卒三个层级。军吏包括校尉以下各级军官。今按：《二年律令·贼律》19号简军吏与“缘边县道”并言，又《传食律》232号简军吏与“县道”并言，所指应是中级军官。8-657有“军吏在县界中者各告之”，可参看。</w:t>
      </w:r>
    </w:p>
    <w:p>
      <w:r>
        <w:t>[3] 坐，获罪、定罪。《说苑·奉使》：“于是荆王与晏子立语，有縳一人过王而行。王曰：‘何为者也？’对曰：‘齐人也。’王曰：‘何坐？’曰：‘坐盗。’”它坐，其它罪行。《封诊式·盗自告》云：“某里公士甲自告曰：‘以五月晦与同里士五（伍）丙盗某里士五（伍）丁千钱，毋（无）它坐，来自告，告丙。’”整理小组注释说：“无它坐，秦汉法律文书习语，意为没有其他罪行，如《居延汉简甲编》129：‘贺未有鞫系时，毋（无）它坐，谒报，敢言之。’”</w:t>
      </w:r>
    </w:p>
    <w:p>
      <w:r>
        <w:t>訾，钱财｡《汉书･司马相如传上》:“相如既学，慕蔺相如之为人也，更名相如。以訾为郎，事孝景帝，为武骑常侍，非其好也。”颜师古注：“訾读与赀同。赀，财也。”《二年律令·徭律》411号简云：“发传送，县官车牛不足，令大夫以下有訾者，以訾共出车牛；及益，令其毋訾者与共出牛食，约载具。”</w:t>
      </w:r>
    </w:p>
    <w:p>
      <w:r>
        <w:t>[4] 三片纹路吻合，缀合后能复原“到”、“吏”等字。</w:t>
      </w:r>
    </w:p>
    <w:p>
      <w:r>
        <w:t>[5] 狱东，似是“狱东曹”省称。</w:t>
      </w:r>
    </w:p>
    <w:p>
      <w:r>
        <w:t>[6] 义，人名。</w:t>
      </w:r>
    </w:p>
    <w:p>
      <w:r>
        <w:t>[7] 萃，人名。</w:t>
      </w:r>
    </w:p>
    <w:p>
      <w:r>
        <w:t>[8] 昌，原释文未释。廷，原释文作“之”，“行廷”一词见于8-170背。</w:t>
      </w:r>
    </w:p>
    <w:p>
      <w:pPr>
        <w:pStyle w:val="Heading1"/>
      </w:pPr>
      <w:r>
        <w:t>书法</w:t>
      </w:r>
    </w:p>
    <w:p>
      <w:r>
        <w:t>图1、图2、图4 字迹清楚，字形窄长，笔画匀细；图3、图5 墨色淡，字迹多不可辨（据图1至图5）。</w:t>
      </w:r>
    </w:p>
    <w:p>
      <w:pPr>
        <w:pStyle w:val="Heading1"/>
      </w:pPr>
      <w:r>
        <w:t>简牍形制</w:t>
      </w:r>
    </w:p>
    <w:p>
      <w:r>
        <w:t w:space="preserve">8-198、8-213、8-2013 三片纹路吻合，缀合后能复原『到』『吏』等字（《校释》注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［4］</w:t>
      </w:r>
      <w:r>
        <w:t w:space="preserve">）。</w:t>
      </w:r>
    </w:p>
    <w:p>
      <w:pPr>
        <w:pStyle w:val="Heading1"/>
      </w:pPr>
      <w:r>
        <w:t>书写方式</w:t>
      </w:r>
    </w:p>
    <w:p>
      <w:r>
        <w:t>每栏单行竖写，背面记经手人（据图1至图5、据释文）。</w:t>
      </w:r>
    </w:p>
    <w:p>
      <w:pPr>
        <w:pStyle w:val="Heading1"/>
      </w:pPr>
      <w:r>
        <w:t>美育价值</w:t>
      </w:r>
    </w:p>
    <w:p>
      <w:r>
        <w:t w:space="preserve">三片拼合后可读出迁陵丞昌下文各乡官、要求别书军吏的文书，背面还记『义手』『萃手』两个抄写人（据释文、《校释》注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［4］</w:t>
      </w:r>
      <w:r>
        <w:t w:space="preserve">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