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J1⑧201：充戍、酉阳守丞往来文书</w:t>
      </w:r>
    </w:p>
    <w:p>
      <w:pPr>
        <w:pStyle w:val="Heading1"/>
      </w:pPr>
      <w:r>
        <w:t>来源出处</w:t>
      </w:r>
    </w:p>
    <w:p>
      <w:r>
        <w:t>里耶古城一号井第八层出土，原整理号 8-201。</w:t>
      </w:r>
    </w:p>
    <w:p>
      <w:r>
        <w:t>释文、注释：《里耶秦简牍校释》第一卷，第 112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3404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1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404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8-201正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96363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1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636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8-201背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576000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305600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86818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辛　</w:t>
      </w:r>
      <w:r>
        <w:t>秋時萬物成而孰；金剛，味辛，辛痛即泣出。从一从䇂。䇂，辠也。辛承庚，象人股。凡辛之屬皆从辛。（《说文解字》卷十四·辛部）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474612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6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r>
        <w:drawing>
          <wp:inline xmlns:a="http://schemas.openxmlformats.org/drawingml/2006/main" xmlns:pic="http://schemas.openxmlformats.org/drawingml/2006/picture">
            <wp:extent cx="343726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7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充　</w:t>
      </w:r>
      <w:r>
        <w:t>長也。高也。从儿，育省聲。（《说文解字》卷八·儿部）</w:t>
      </w:r>
    </w:p>
    <w:p>
      <w:r>
        <w:drawing>
          <wp:inline xmlns:a="http://schemas.openxmlformats.org/drawingml/2006/main" xmlns:pic="http://schemas.openxmlformats.org/drawingml/2006/picture">
            <wp:extent cx="484981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9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戌　</w:t>
      </w:r>
      <w:r>
        <w:t>滅也。九月，陽气微，萬物畢成，陽下入地也。五行，土生於戊，盛於戌。从戊含一。凡戌之屬皆从戌。（《说文解字》卷十四·戌部）</w:t>
      </w:r>
    </w:p>
    <w:p>
      <w:r>
        <w:drawing>
          <wp:inline xmlns:a="http://schemas.openxmlformats.org/drawingml/2006/main" xmlns:pic="http://schemas.openxmlformats.org/drawingml/2006/picture">
            <wp:extent cx="540000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571200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535500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502714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86818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387000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騰　</w:t>
      </w:r>
      <w:r>
        <w:t>傳也。从馬朕聲。一曰騰，犗馬也。（《说文解字》卷十·馬部）</w:t>
      </w:r>
    </w:p>
    <w:p>
      <w:r>
        <w:drawing>
          <wp:inline xmlns:a="http://schemas.openxmlformats.org/drawingml/2006/main" xmlns:pic="http://schemas.openxmlformats.org/drawingml/2006/picture">
            <wp:extent cx="369142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真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90896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8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054000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5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51714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82857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2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丙　</w:t>
      </w:r>
      <w:r>
        <w:t>位南方，萬物成，炳然。陰气初起，陽气將虧。从一入冂。一者，陽也。丙承乙，象人肩。凡丙之屬皆从丙。（《说文解字》卷十四·丙部）</w:t>
      </w:r>
    </w:p>
    <w:p>
      <w:r>
        <w:drawing>
          <wp:inline xmlns:a="http://schemas.openxmlformats.org/drawingml/2006/main" xmlns:pic="http://schemas.openxmlformats.org/drawingml/2006/picture">
            <wp:extent cx="443172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1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r>
        <w:drawing>
          <wp:inline xmlns:a="http://schemas.openxmlformats.org/drawingml/2006/main" xmlns:pic="http://schemas.openxmlformats.org/drawingml/2006/picture">
            <wp:extent cx="667636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7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683162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3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651913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19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扶　</w:t>
      </w:r>
      <w:r>
        <w:t>左也。从手夫聲。（《说文解字》卷十二·手部）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651063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10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如　</w:t>
      </w:r>
      <w:r>
        <w:t>从隨也。从女从口。（《说文解字》卷十二·女部）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576000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552000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505565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5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77358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73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主　</w:t>
      </w:r>
      <w:r>
        <w:t>鐙中火主也。从纹，象形。从丶，丶亦聲。（《说文解字》卷五·丶部）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問　</w:t>
      </w:r>
      <w:r>
        <w:t>訊也。从口門聲。（《说文解字》卷二·口部）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463135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31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122000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2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94514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5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49551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95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庚　</w:t>
      </w:r>
      <w:r>
        <w:t>位西方，象秋時萬物庚庚有實也。庚承己，象人𪗇。凡庚之屬皆从庚。（《说文解字》卷十四·庚部）</w:t>
      </w:r>
    </w:p>
    <w:p>
      <w:r>
        <w:drawing>
          <wp:inline xmlns:a="http://schemas.openxmlformats.org/drawingml/2006/main" xmlns:pic="http://schemas.openxmlformats.org/drawingml/2006/picture">
            <wp:extent cx="670285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70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戌　</w:t>
      </w:r>
      <w:r>
        <w:t>滅也。九月，陽气微，萬物畢成，陽下入地也。五行，土生於戊，盛於戌。从戊含一。凡戌之屬皆从戌。（《说文解字》卷十四·戌部）</w:t>
      </w:r>
    </w:p>
    <w:p>
      <w:r>
        <w:drawing>
          <wp:inline xmlns:a="http://schemas.openxmlformats.org/drawingml/2006/main" xmlns:pic="http://schemas.openxmlformats.org/drawingml/2006/picture">
            <wp:extent cx="478472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84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68930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89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佗　</w:t>
      </w:r>
      <w:r>
        <w:t>負何也。从人它聲。（《说文解字》卷八·人部）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874285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7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71571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1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711627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116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1271076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71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96528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65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卒　</w:t>
      </w:r>
      <w:r>
        <w:t>隸人給事者衣爲卒。卒，衣有題識者。（《说文解字》卷八·衣部）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438600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8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簪　</w:t>
      </w:r>
      <w:r>
        <w:t>首笄也。从人，匕象簪形。凡兂之屬皆从兂。（《说文解字》卷八·兂部）</w:t>
      </w:r>
    </w:p>
    <w:p>
      <w:r>
        <w:drawing>
          <wp:inline xmlns:a="http://schemas.openxmlformats.org/drawingml/2006/main" xmlns:pic="http://schemas.openxmlformats.org/drawingml/2006/picture">
            <wp:extent cx="531169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11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68923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68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795600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9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89677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896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pPr>
        <w:pStyle w:val="Caption"/>
      </w:pPr>
      <w:r>
        <w:t>图3  8-201 逐字字形与本义（共 47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十一月辛亥，充戍敢告酉阳丞：腾真</w:t>
      </w:r>
      <w:r>
        <w:rPr>
          <w:vertAlign w:val="superscript"/>
          <w:sz w:val="18"/>
          <w:szCs w:val="18"/>
        </w:rPr>
        <w:t xml:space="preserve">［1］</w:t>
      </w:r>
      <w:r>
        <w:t>〼Ⅰ</w:t>
      </w:r>
    </w:p>
    <w:p>
      <w:r>
        <w:t>十一月丙亥</w:t>
      </w:r>
      <w:r>
        <w:rPr>
          <w:vertAlign w:val="superscript"/>
          <w:sz w:val="18"/>
          <w:szCs w:val="18"/>
        </w:rPr>
        <w:t xml:space="preserve">［2］</w:t>
      </w:r>
      <w:r>
        <w:t>，酉阳守丞扶如敢告</w:t>
      </w:r>
      <w:r>
        <w:rPr>
          <w:vertAlign w:val="superscript"/>
          <w:sz w:val="18"/>
          <w:szCs w:val="18"/>
        </w:rPr>
        <w:t xml:space="preserve">［3］</w:t>
      </w:r>
      <w:r>
        <w:t>：尉主问〼Ⅱ8-201</w:t>
      </w:r>
    </w:p>
    <w:p>
      <w:r>
        <w:t>十一月庚戌，尉佗敢言之</w:t>
      </w:r>
      <w:r>
        <w:rPr>
          <w:vertAlign w:val="superscript"/>
          <w:sz w:val="18"/>
          <w:szCs w:val="18"/>
        </w:rPr>
        <w:t xml:space="preserve">［4］</w:t>
      </w:r>
      <w:r>
        <w:t>：以卒簪□之□人</w:t>
      </w:r>
      <w:r>
        <w:rPr>
          <w:vertAlign w:val="superscript"/>
          <w:sz w:val="18"/>
          <w:szCs w:val="18"/>
        </w:rPr>
        <w:t xml:space="preserve">［5］</w:t>
      </w:r>
      <w:r>
        <w:t>〼8-201背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戍，原释文未释。</w:t>
      </w:r>
    </w:p>
    <w:p>
      <w:r>
        <w:t>[2] 亥，原释文作“辰”。</w:t>
      </w:r>
    </w:p>
    <w:p>
      <w:r>
        <w:t>[3] 扶如，人名。</w:t>
      </w:r>
    </w:p>
    <w:p>
      <w:r>
        <w:t>[4] 佗，人名。</w:t>
      </w:r>
    </w:p>
    <w:p>
      <w:r>
        <w:t>[5] 庚戌在辛亥前一日，“尉主问”云云，应指“尉佗敢言之”。因而本面也许为正面。</w:t>
      </w:r>
    </w:p>
    <w:p>
      <w:pPr>
        <w:pStyle w:val="Heading1"/>
      </w:pPr>
      <w:r>
        <w:t>书法</w:t>
      </w:r>
    </w:p>
    <w:p>
      <w:r>
        <w:t>图1 两栏字迹清楚，字形窄长，笔画细；图2 一行字，墨色略淡（据图1、图2）。</w:t>
      </w:r>
    </w:p>
    <w:p>
      <w:pPr>
        <w:pStyle w:val="Heading1"/>
      </w:pPr>
      <w:r>
        <w:t>简牍形制</w:t>
      </w:r>
    </w:p>
    <w:p>
      <w:r>
        <w:t>窄长简，正背两面有字，简身上部有一道横向裂痕（据图1、图2）。</w:t>
      </w:r>
    </w:p>
    <w:p>
      <w:pPr>
        <w:pStyle w:val="Heading1"/>
      </w:pPr>
      <w:r>
        <w:t>书写方式</w:t>
      </w:r>
    </w:p>
    <w:p>
      <w:r>
        <w:t>图1 分两栏单行竖写，图2 单行竖写（据图1、图2、据释文）。</w:t>
      </w:r>
    </w:p>
    <w:p>
      <w:pPr>
        <w:pStyle w:val="Heading1"/>
      </w:pPr>
      <w:r>
        <w:t>美育价值</w:t>
      </w:r>
    </w:p>
    <w:p>
      <w:r>
        <w:t>正背两面记着同一起往来的三方：充戍告酉阳丞、酉阳守丞扶如回复、尉佗报告（据释文）。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