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J1⑧206：武关内史、进书李季</w:t>
      </w:r>
    </w:p>
    <w:p>
      <w:pPr>
        <w:pStyle w:val="Heading1"/>
      </w:pPr>
      <w:r>
        <w:t>来源出处</w:t>
      </w:r>
    </w:p>
    <w:p>
      <w:r>
        <w:t>里耶古城一号井第八层出土，原整理号 8-206。</w:t>
      </w:r>
    </w:p>
    <w:p>
      <w:r>
        <w:t>释文、注释：《里耶秦简牍校释》第一卷，第 113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8569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6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8569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8-206正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54094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206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409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8-206背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404542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0_武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45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武　</w:t>
      </w:r>
      <w:r>
        <w:t>楚莊王曰：“夫武，定功戢兵。故止戈爲武。”（《说文解字》卷十二·戈部）</w:t>
      </w:r>
    </w:p>
    <w:p>
      <w:r>
        <w:drawing>
          <wp:inline xmlns:a="http://schemas.openxmlformats.org/drawingml/2006/main" xmlns:pic="http://schemas.openxmlformats.org/drawingml/2006/picture">
            <wp:extent cx="53428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關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關　</w:t>
      </w:r>
      <w:r>
        <w:t>以木橫持門戶也。从門𢇅聲。（《说文解字》卷十二·門部）</w:t>
      </w:r>
    </w:p>
    <w:p>
      <w:r>
        <w:drawing>
          <wp:inline xmlns:a="http://schemas.openxmlformats.org/drawingml/2006/main" xmlns:pic="http://schemas.openxmlformats.org/drawingml/2006/picture">
            <wp:extent cx="72128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2_内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1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内　</w:t>
      </w:r>
      <w:r>
        <w:t>入也。从口，自外而入也。（《说文解字》卷五·入部）</w:t>
      </w:r>
    </w:p>
    <w:p>
      <w:r>
        <w:drawing>
          <wp:inline xmlns:a="http://schemas.openxmlformats.org/drawingml/2006/main" xmlns:pic="http://schemas.openxmlformats.org/drawingml/2006/picture">
            <wp:extent cx="55346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_史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6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pPr>
        <w:pStyle w:val="Caption"/>
      </w:pPr>
      <w:r>
        <w:t>图3  8-206 逐字字形与本义（共 4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武关内史</w:t>
      </w:r>
      <w:r>
        <w:rPr>
          <w:vertAlign w:val="superscript"/>
          <w:sz w:val="18"/>
          <w:szCs w:val="18"/>
        </w:rPr>
        <w:t xml:space="preserve">［1］</w:t>
      </w:r>
      <w:r>
        <w:t>。8-206</w:t>
      </w:r>
    </w:p>
    <w:p>
      <w:r>
        <w:t>进书李季囗足</w:t>
      </w:r>
      <w:r>
        <w:rPr>
          <w:vertAlign w:val="superscript"/>
          <w:sz w:val="18"/>
          <w:szCs w:val="18"/>
        </w:rPr>
        <w:t xml:space="preserve">［2］</w:t>
      </w:r>
      <w:r>
        <w:t>Ⅰ</w:t>
      </w:r>
    </w:p>
    <w:p>
      <w:r>
        <w:t>自发。Ⅱ8-206背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武关，关名。在陕西商南县西北。《二年律令·津关令》492号简云：“制诏御史，其令扜关、郧关、武关、函谷【关】、临晋关及诸其塞之河津，禁毋出黄金、诸奠黄金器及铜”。</w:t>
      </w:r>
    </w:p>
    <w:p>
      <w:r>
        <w:t>[2] 进书，进奉文书或书信。李季，人名。“季”下一字从“疒”。</w:t>
      </w:r>
    </w:p>
    <w:p>
      <w:pPr>
        <w:pStyle w:val="Heading1"/>
      </w:pPr>
      <w:r>
        <w:t>书法</w:t>
      </w:r>
    </w:p>
    <w:p>
      <w:r>
        <w:t>图1 字迹清楚，字形偏方，笔画粗；图2 墨色淡，两栏字迹多不可辨（据图1、图2）。</w:t>
      </w:r>
    </w:p>
    <w:p>
      <w:pPr>
        <w:pStyle w:val="Heading1"/>
      </w:pPr>
      <w:r>
        <w:t>简牍形制</w:t>
      </w:r>
    </w:p>
    <w:p>
      <w:r>
        <w:t>窄长简，下端收窄成尖，简身上部有一处裂痕（据图1）。</w:t>
      </w:r>
    </w:p>
    <w:p>
      <w:pPr>
        <w:pStyle w:val="Heading1"/>
      </w:pPr>
      <w:r>
        <w:t>书写方式</w:t>
      </w:r>
    </w:p>
    <w:p>
      <w:r>
        <w:t>图1 单行竖写，图2 分两栏（据图1、图2、据释文）。</w:t>
      </w:r>
    </w:p>
    <w:p>
      <w:pPr>
        <w:pStyle w:val="Heading1"/>
      </w:pPr>
      <w:r>
        <w:t>美育价值</w:t>
      </w:r>
    </w:p>
    <w:p>
      <w:r>
        <w:t w:space="preserve">正面写『武关内史』，《校释》据《二年律令·津关令》说明武关是关中通往南方的关隘（据释文、《校释》注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