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J1⑧222：残牍（凡有不当律令者）</w:t>
      </w:r>
    </w:p>
    <w:p>
      <w:pPr>
        <w:pStyle w:val="Heading1"/>
      </w:pPr>
      <w:r>
        <w:t>来源出处</w:t>
      </w:r>
    </w:p>
    <w:p>
      <w:r>
        <w:t>里耶古城一号井第八层出土，原整理号 8-222。</w:t>
      </w:r>
    </w:p>
    <w:p>
      <w:r>
        <w:t>释文、注释：《里耶秦简牍校释》第一卷，第 118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08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08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1025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29828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45724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6484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42766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251506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5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6484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pPr>
        <w:pStyle w:val="Caption"/>
      </w:pPr>
      <w:r>
        <w:t>图2  8-222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〼凡有不当Ⅰ</w:t>
      </w:r>
    </w:p>
    <w:p>
      <w:r>
        <w:t>〼□ 律令者</w:t>
      </w:r>
      <w:r>
        <w:rPr>
          <w:vertAlign w:val="superscript"/>
          <w:sz w:val="18"/>
          <w:szCs w:val="18"/>
        </w:rPr>
        <w:t xml:space="preserve">［1］</w:t>
      </w:r>
      <w:r>
        <w:t>Ⅱ8-222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看书写位置，也许“凡有不当律令者”连读。</w:t>
      </w:r>
    </w:p>
    <w:p>
      <w:pPr>
        <w:pStyle w:val="Heading1"/>
      </w:pPr>
      <w:r>
        <w:t>书法</w:t>
      </w:r>
    </w:p>
    <w:p>
      <w:r>
        <w:t>残牍两栏：「凡有不当」「□律令者」，栏末以Ⅰ、Ⅱ标序。（据图1）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《校释》说这两栏大概要连读——分栏写法有时会切断一句话。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