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J1⑧234：残牍（问此牒人除）</w:t>
      </w:r>
    </w:p>
    <w:p>
      <w:pPr>
        <w:pStyle w:val="Heading1"/>
      </w:pPr>
      <w:r>
        <w:t>来源出处</w:t>
      </w:r>
    </w:p>
    <w:p>
      <w:r>
        <w:t>里耶古城一号井第八层出土，原整理号 8-234。</w:t>
      </w:r>
    </w:p>
    <w:p>
      <w:r>
        <w:t>释文、注释：《里耶秦简牍校释》第一卷，第 120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235607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234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35607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8-234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720000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問　</w:t>
      </w:r>
      <w:r>
        <w:t>訊也。从口門聲。（《说文解字》卷二·口部）</w:t>
      </w:r>
    </w:p>
    <w:p>
      <w:r>
        <w:drawing>
          <wp:inline xmlns:a="http://schemas.openxmlformats.org/drawingml/2006/main" xmlns:pic="http://schemas.openxmlformats.org/drawingml/2006/picture">
            <wp:extent cx="400581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058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此　</w:t>
      </w:r>
      <w:r>
        <w:t>止也。从止从匕。匕，相比次也。凡此之屬皆从此。（《说文解字》卷·此部）</w:t>
      </w:r>
    </w:p>
    <w:p>
      <w:r>
        <w:drawing>
          <wp:inline xmlns:a="http://schemas.openxmlformats.org/drawingml/2006/main" xmlns:pic="http://schemas.openxmlformats.org/drawingml/2006/picture">
            <wp:extent cx="679068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906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牒　</w:t>
      </w:r>
      <w:r>
        <w:t>札也。从片枼聲。（《说文解字》卷七·片部）</w:t>
      </w:r>
    </w:p>
    <w:p>
      <w:r>
        <w:drawing>
          <wp:inline xmlns:a="http://schemas.openxmlformats.org/drawingml/2006/main" xmlns:pic="http://schemas.openxmlformats.org/drawingml/2006/picture">
            <wp:extent cx="664457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4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人　</w:t>
      </w:r>
      <w:r>
        <w:t>天地之性最貴者也。此籒文。象臂脛之形。凡人之屬皆从人。（《说文解字》卷八·人部）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453038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303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除　</w:t>
      </w:r>
      <w:r>
        <w:t>殿陛也。从𨸏余聲。（《说文解字》卷十四·𨸏部）</w:t>
      </w:r>
    </w:p>
    <w:p>
      <w:pPr>
        <w:pStyle w:val="Caption"/>
      </w:pPr>
      <w:r>
        <w:t>图2  8-234 逐字字形与本义（共 5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〼问此牒人除</w:t>
      </w:r>
      <w:r>
        <w:rPr>
          <w:vertAlign w:val="superscript"/>
          <w:sz w:val="18"/>
          <w:szCs w:val="18"/>
        </w:rPr>
        <w:t xml:space="preserve">［1］</w:t>
      </w:r>
      <w:r>
        <w:t>〼8-234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人，原释文作“入”。</w:t>
      </w:r>
    </w:p>
    <w:p>
      <w:pPr>
        <w:pStyle w:val="Heading1"/>
      </w:pPr>
      <w:r>
        <w:t>书法</w:t>
      </w:r>
    </w:p>
    <w:p>
      <w:r>
        <w:t>残片一行，字小而匀。（据图1）</w:t>
      </w:r>
    </w:p>
    <w:p>
      <w:pPr>
        <w:pStyle w:val="Heading1"/>
      </w:pPr>
      <w:r>
        <w:t>简牍形制</w:t>
      </w:r>
    </w:p>
    <w:p>
      <w:r>
        <w:t>残牍，单面书写。（据图1）</w:t>
      </w:r>
    </w:p>
    <w:p>
      <w:pPr>
        <w:pStyle w:val="Heading1"/>
      </w:pPr>
      <w:r>
        <w:t>书写方式</w:t>
      </w:r>
    </w:p>
    <w:p>
      <w:r>
        <w:t>墨色中等。（据图1）</w:t>
      </w:r>
    </w:p>
    <w:p>
      <w:pPr>
        <w:pStyle w:val="Heading1"/>
      </w:pPr>
      <w:r>
        <w:t>美育价值</w:t>
      </w:r>
    </w:p>
    <w:p>
      <w:r>
        <w:t>「人」字原释文作「入」——一笔之差，字义就变了。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