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J9⑨9-1175：里耶秦简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9-1175。</w:t>
      </w:r>
    </w:p>
    <w:p>
      <w:r>
        <w:t>释文：「尉」。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15716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17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1571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9-1175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4787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175_尉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7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尉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9-1175 逐字本义（共 1 字）。</w:t>
      </w:r>
    </w:p>
    <w:p>
      <w:pPr>
        <w:pStyle w:val="Heading1"/>
      </w:pPr>
      <w:r>
        <w:t>释文</w:t>
      </w:r>
    </w:p>
    <w:p>
      <w:r>
        <w:t>尉　9-1175</w:t>
      </w:r>
    </w:p>
    <w:p>
      <w:pPr>
        <w:pStyle w:val="Heading1"/>
      </w:pPr>
      <w:r>
        <w:t>文字</w:t>
      </w:r>
    </w:p>
    <w:p>
      <w:r>
        <w:t>此为里耶古城一号井第九层出土简 9-1175，释文「尉」，残泐处不可尽辨，据红外照与文例补。</w:t>
      </w:r>
    </w:p>
    <w:p>
      <w:pPr>
        <w:pStyle w:val="Heading1"/>
      </w:pPr>
      <w:r>
        <w:t>书法</w:t>
      </w:r>
    </w:p>
    <w:p>
      <w:r>
        <w:t>整简狭长，墨痕浓淡相间，字迹纵列下行。笔画提按分明，起收笔交代清楚，具秦代隶书朴厚气象。（据图1）</w:t>
      </w:r>
    </w:p>
    <w:p>
      <w:pPr>
        <w:pStyle w:val="Heading1"/>
      </w:pPr>
      <w:r>
        <w:t>简牍形制</w:t>
      </w:r>
    </w:p>
    <w:p>
      <w:r>
        <w:t>残简一枚，狭长条形，墨痕分布于简面。（据图1）</w:t>
      </w:r>
    </w:p>
    <w:p>
      <w:pPr>
        <w:pStyle w:val="Heading1"/>
      </w:pPr>
      <w:r>
        <w:t>书写方式</w:t>
      </w:r>
    </w:p>
    <w:p>
      <w:r>
        <w:t>墨色浓黑，运笔稳健，为秦代日常公文书手所写。（据图1）</w:t>
      </w:r>
    </w:p>
    <w:p>
      <w:pPr>
        <w:pStyle w:val="Heading1"/>
      </w:pPr>
      <w:r>
        <w:t>美育价值</w:t>
      </w:r>
    </w:p>
    <w:p>
      <w:r>
        <w:t>一枚残简，一段秦代县廷文书现场。墨痕千年不褪，见字如见人。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