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3A730">
      <w:pPr>
        <w:pStyle w:val="2"/>
        <w:keepNext w:val="0"/>
        <w:keepLines w:val="0"/>
        <w:widowControl/>
        <w:suppressLineNumbers w:val="0"/>
      </w:pPr>
      <w:r>
        <w:t xml:space="preserve"> 字体演变与文字特征</w:t>
      </w:r>
    </w:p>
    <w:p w14:paraId="478B869A">
      <w:pPr>
        <w:pStyle w:val="2"/>
        <w:keepNext w:val="0"/>
        <w:keepLines w:val="0"/>
        <w:widowControl/>
        <w:suppressLineNumbers w:val="0"/>
      </w:pPr>
      <w:r>
        <w:t xml:space="preserve"> 研究重点</w:t>
      </w:r>
    </w:p>
    <w:p w14:paraId="75E88FAC">
      <w:pPr>
        <w:pStyle w:val="2"/>
        <w:keepNext w:val="0"/>
        <w:keepLines w:val="0"/>
        <w:widowControl/>
        <w:suppressLineNumbers w:val="0"/>
      </w:pPr>
      <w:r>
        <w:t>里耶秦简处于战国晚期至秦代秦系文字材料序列中，是观察篆书传统、隶变、草化、异体与通假现象的重要墨迹材料。应逐字结合文书语境、同批异写、同字异体及其他秦简材料，不宜把“篆”“隶”标签当成每字都能机械归类的结论。</w:t>
      </w:r>
    </w:p>
    <w:p w14:paraId="48BAFEA4">
      <w:pPr>
        <w:pStyle w:val="2"/>
        <w:keepNext w:val="0"/>
        <w:keepLines w:val="0"/>
        <w:widowControl/>
        <w:suppressLineNumbers w:val="0"/>
      </w:pPr>
      <w:r>
        <w:t xml:space="preserve"> 字形记录字段</w:t>
      </w:r>
    </w:p>
    <w:p w14:paraId="1DC262A8">
      <w:pPr>
        <w:pStyle w:val="2"/>
        <w:keepNext w:val="0"/>
        <w:keepLines w:val="0"/>
        <w:widowControl/>
        <w:suppressLineNumbers w:val="0"/>
      </w:pPr>
      <w:r>
        <w:t>- 简号、正/背、行/栏、图版号、字序</w:t>
      </w:r>
    </w:p>
    <w:p w14:paraId="0B128FEF">
      <w:pPr>
        <w:pStyle w:val="2"/>
        <w:keepNext w:val="0"/>
        <w:keepLines w:val="0"/>
        <w:widowControl/>
        <w:suppressLineNumbers w:val="0"/>
      </w:pPr>
      <w:r>
        <w:t>- 原图摹形；可见笔画；残损/污渍/重叠</w:t>
      </w:r>
    </w:p>
    <w:p w14:paraId="486BC30E">
      <w:pPr>
        <w:pStyle w:val="2"/>
        <w:keepNext w:val="0"/>
        <w:keepLines w:val="0"/>
        <w:widowControl/>
        <w:suppressLineNumbers w:val="0"/>
      </w:pPr>
      <w:r>
        <w:t>- 释读及异释；通假/异体/合文等判断</w:t>
      </w:r>
    </w:p>
    <w:p w14:paraId="36FC64D5">
      <w:pPr>
        <w:pStyle w:val="2"/>
        <w:keepNext w:val="0"/>
        <w:keepLines w:val="0"/>
        <w:widowControl/>
        <w:suppressLineNumbers w:val="0"/>
      </w:pPr>
      <w:r>
        <w:t>- 同批平行字例与外部平行材料</w:t>
      </w:r>
    </w:p>
    <w:p w14:paraId="60EA026C">
      <w:pPr>
        <w:pStyle w:val="2"/>
        <w:keepNext w:val="0"/>
        <w:keepLines w:val="0"/>
        <w:widowControl/>
        <w:suppressLineNumbers w:val="0"/>
      </w:pPr>
      <w:r>
        <w:t>- 字体特征：构件位置、线条方向、篆隶转换、草化、省笔、偏旁变异</w:t>
      </w:r>
    </w:p>
    <w:p w14:paraId="08259EF5">
      <w:pPr>
        <w:pStyle w:val="2"/>
        <w:keepNext w:val="0"/>
        <w:keepLines w:val="0"/>
        <w:widowControl/>
        <w:suppressLineNumbers w:val="0"/>
      </w:pPr>
      <w:r>
        <w:t>- 释读依据与参考文献</w:t>
      </w:r>
    </w:p>
    <w:p w14:paraId="25BC538D">
      <w:pPr>
        <w:pStyle w:val="2"/>
        <w:keepNext w:val="0"/>
        <w:keepLines w:val="0"/>
        <w:widowControl/>
        <w:suppressLineNumbers w:val="0"/>
      </w:pPr>
      <w:r>
        <w:t xml:space="preserve"> 可检索资源</w:t>
      </w:r>
    </w:p>
    <w:p w14:paraId="097A0F77">
      <w:pPr>
        <w:pStyle w:val="2"/>
        <w:keepNext w:val="0"/>
        <w:keepLines w:val="0"/>
        <w:widowControl/>
        <w:suppressLineNumbers w:val="0"/>
      </w:pPr>
      <w:r>
        <w:t xml:space="preserve">- </w:t>
      </w:r>
      <w:bookmarkStart w:id="0" w:name="_GoBack"/>
      <w:bookmarkEnd w:id="0"/>
      <w:r>
        <w:t>《里耶秦简》专用字形检索：部件检索、异体检索，可查字形与编号线索：[在线检索](https://www.mebag.com/index/liye/liye_s.asp)。页面为研究辅助资源，使用时回查图版和校释本。</w:t>
      </w:r>
    </w:p>
    <w:p w14:paraId="7A9D2FBF">
      <w:pPr>
        <w:pStyle w:val="2"/>
        <w:keepNext w:val="0"/>
        <w:keepLines w:val="0"/>
        <w:widowControl/>
        <w:suppressLineNumbers w:val="0"/>
      </w:pPr>
      <w:r>
        <w:t>- 秦简书法/草化研究：王晓光《秦简牍书法研究》内容涉及秦简牍书法、秦楚简比较、先秦及秦系手写体演变、书写材料与用具。出版信息与内容简介：[山东大学儒学高等研究院书讯](https://www.jianbo.sdu.edu.cn/info/1002/2145.htm)。</w:t>
      </w:r>
    </w:p>
    <w:p w14:paraId="14FE8A66">
      <w:pPr>
        <w:pStyle w:val="2"/>
        <w:keepNext w:val="0"/>
        <w:keepLines w:val="0"/>
        <w:widowControl/>
        <w:suppressLineNumbers w:val="0"/>
      </w:pPr>
      <w:r>
        <w:t>- 里耶秦简文字研究学位论文：以《里耶秦简（壹）》为对象的文字研究，目录包括字形比较。台湾博硕士论文系统条目：[论文记录](https://ndltd.ncl.edu.tw/cgi-bin/gs32/gsweb.cgi?extralimit=asc%3D%22%E5%9C%8B%E7%AB%8B%E4%B8%AD%E6%AD%A3%E5%A4%A7%E5%AD%B8%22&amp;extralimitunit=%E5%9C%8B%E7%AB%8B%E4%B8%AD%E6%AD%A3%E5%A4%A7%E5%AD%B8&amp;o=dnclcdr&amp;s=id%3D%22102CCU00045048%22.&amp;searchmode=basic)。站点访问可能触发验证码。</w:t>
      </w:r>
    </w:p>
    <w:p w14:paraId="3593DAB3">
      <w:pPr>
        <w:pStyle w:val="2"/>
        <w:keepNext w:val="0"/>
        <w:keepLines w:val="0"/>
        <w:widowControl/>
        <w:suppressLineNumbers w:val="0"/>
      </w:pPr>
      <w:r>
        <w:t>- “更名方”字形与书同文字研究：里耶8-461被作为秦代称谓/文字规范材料讨论；二手摘要可定位文献，再用期刊/学术数据库查正式版本：[论文线索](https://xueshu.baidu.com/usercenter/paper/show?paperid=15170tj03w2e0rr0536j0gk0x3639603)。</w:t>
      </w:r>
    </w:p>
    <w:p w14:paraId="158BDA12">
      <w:pPr>
        <w:pStyle w:val="2"/>
        <w:keepNext w:val="0"/>
        <w:keepLines w:val="0"/>
        <w:widowControl/>
        <w:suppressLineNumbers w:val="0"/>
      </w:pPr>
      <w:r>
        <w:t xml:space="preserve"> 解读提醒</w:t>
      </w:r>
    </w:p>
    <w:p w14:paraId="7B6950C4">
      <w:pPr>
        <w:pStyle w:val="2"/>
        <w:keepNext w:val="0"/>
        <w:keepLines w:val="0"/>
        <w:widowControl/>
        <w:suppressLineNumbers w:val="0"/>
      </w:pPr>
      <w:r>
        <w:t>同字异形可能来自时代、书手、载体、书写速度、文书性质或习字状态等多个因素。要把“字形事实”与“政策解释”分栏记录，尤其避免仅凭一个字形推出秦代官方统一规范。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C922F2B"/>
    <w:rsid w:val="1CB6688E"/>
    <w:rsid w:val="1EE45561"/>
    <w:rsid w:val="1F2C31EB"/>
    <w:rsid w:val="1FA543D3"/>
    <w:rsid w:val="227125FA"/>
    <w:rsid w:val="24992B94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293CB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642</Words>
  <Characters>784</Characters>
  <Lines>0</Lines>
  <Paragraphs>0</Paragraphs>
  <TotalTime>2570</TotalTime>
  <ScaleCrop>false</ScaleCrop>
  <LinksUpToDate>false</LinksUpToDate>
  <CharactersWithSpaces>795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