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里耶秦简书写工具与书写方式</w:t>
      </w:r>
    </w:p>
    <w:p>
      <w:pPr/>
      <w:r>
        <w:t>里耶秦简全部是墨书手写材料。研究古人如何写字，最可靠的路径是“看痕迹”而非“凭想象”。本文把“直接观察到的书写痕迹”与“对制作过程的推断”分开记录，建立一套可操作的观察框架，并配套拍图与记录规范。</w:t>
      </w:r>
    </w:p>
    <w:p>
      <w:pPr>
        <w:pStyle w:val="Heading1"/>
      </w:pPr>
      <w:r>
        <w:t>一、笔具痕迹</w:t>
      </w:r>
    </w:p>
    <w:p>
      <w:pPr/>
      <w:r>
        <w:t>从点画形态可反推毛笔的锋颖与运行。观察要点包括：线条粗细变化是否自然，起笔是尖锋直入还是圆钝藏锋，收笔是回锋、露锋还是拖锋而出，转折处是提按后换面还是一笔圆转。里耶简中，公文正件笔锋饱满，线条有明显的粗细提按；背面录事则笔锋较露，起收直率，牵丝连带增多。这些差异说明当时书手使用的是锋颖较好的竹木笔，运行速度因场合而异。</w:t>
      </w:r>
    </w:p>
    <w:p>
      <w:pPr>
        <w:pStyle w:val="Heading1"/>
      </w:pPr>
      <w:r>
        <w:t>二、墨色观察</w:t>
      </w:r>
    </w:p>
    <w:p>
      <w:pPr/>
      <w:r>
        <w:t>墨的浓淡、枯润、渗化与断墨，既是书写状态的记录，也受两千年保存与现代拍摄影响。浓黑饱满处是行笔从容，枯笔飞白处是笔速加快或墨将尽；但饱水简牍经脱色处理后，墨色与原始状态已有差别，红外图版更能显现褪化笔道。记录时须注明所见是彩色照、脱色照还是红外照，避免把保存与成像造成的差异当成书写时的墨色变化。</w:t>
      </w:r>
    </w:p>
    <w:p>
      <w:pPr>
        <w:pStyle w:val="Heading1"/>
      </w:pPr>
      <w:r>
        <w:t>三、书写方向与行列</w:t>
      </w:r>
    </w:p>
    <w:p>
      <w:pPr/>
      <w:r>
        <w:t>里耶简一律直行自上而下，列间从右向左排列。栏界、行距的疏密随文书类型而变：长篇公文行距匀整，簿籍条目行距紧凑，签牌字大行疏。要区分“简面方向”与“读写方向”——有些简两面都写，正背面方向是否一致、有无倒书，需逐枚标注。编痕与墨迹的叠压关系，还能判断书写与编联的先后：墨迹压过编痕，说明先写后编；编痕压墨，则可能先编后写。</w:t>
      </w:r>
    </w:p>
    <w:p>
      <w:pPr>
        <w:pStyle w:val="Heading1"/>
      </w:pPr>
      <w:r>
        <w:t>四、速度线索与书写层次</w:t>
      </w:r>
    </w:p>
    <w:p>
      <w:pPr/>
      <w:r>
        <w:t>连笔、牵丝、笔画简省、字距紧缩，都是书写速度与熟练度的线索，但只能作旁证，不能单独定论。更可靠的是“书写层次”分析：一篇文书往往不是一次写成的——正文是首次书写，背面收文、“某以来”“某发”“某手”是传递过程中陆续添加，校改与补记又在更后。把这些层次分开记录，才能还原文书的流转顺序，而不是把后来添写的字当成正文原貌。</w:t>
      </w:r>
    </w:p>
    <w:p>
      <w:pPr>
        <w:pStyle w:val="Heading1"/>
      </w:pPr>
      <w:r>
        <w:t>五、刮削与重写</w:t>
      </w:r>
    </w:p>
    <w:p>
      <w:pPr/>
      <w:r>
        <w:t>简牍上偶有刮削、改写痕迹。观察刮除面的深浅、重写墨迹与原行的关系，可判断是涂改还是正式重写。切忌把残损、刮痕、反印文误判作字形变体——例如9-2289下部的反印文，是叠压接触形成的镜像，并非背面主动书写。</w:t>
      </w:r>
    </w:p>
    <w:p>
      <w:pPr>
        <w:pStyle w:val="Heading1"/>
      </w:pPr>
      <w:r>
        <w:t>六、拍图与记录规范</w:t>
      </w:r>
    </w:p>
    <w:p>
      <w:pPr/>
      <w:r>
        <w:t>对同一枚简应并列保存：正射彩色图、红外图（若出版物提供）、比例尺与编号信息、图版出处及页码。裁切图必须另存，并保留原图引用关系。在线字库截图只能标作检索辅助，不能替代正式图版。每做一次局部放大，都应能回溯到原始整简图，保证学术可追溯。</w:t>
      </w:r>
    </w:p>
    <w:p>
      <w:pPr>
        <w:pStyle w:val="Heading1"/>
      </w:pPr>
      <w:r>
        <w:t>研究入口</w:t>
      </w:r>
    </w:p>
    <w:p>
      <w:pPr/>
      <w:r>
        <w:t>清华大学出土文献研究与保护中心整理的《里耶秦简博物馆藏秦简》，含彩色图版、红外图版、释文校订、刻齿简线描与形制表，是高清采图与重新校订的代表。《里耶秦简（壹）》所见“往来书”的文书学考察，专门讨论正文、某手及送文记录的书写层次，可用来理解文书后续添加与书写顺序。刻齿简与《数》中未解读简的研究，则提供了刻划、计算类材料的形态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